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header+xml" PartName="/word/header1.xml"/>
  <Override ContentType="application/vnd.openxmlformats-officedocument.wordprocessingml.footer+xml" PartName="/word/footer1.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0"/>
      </w:pPr>
      <w:r>
        <w:drawing>
          <wp:inline distT="0" distB="0" distL="0" distR="0">
            <wp:extent cx="1685925" cy="457200"/>
            <wp:effectExtent t="0" r="0" b="0" l="0"/>
            <wp:docPr id="1" name="AI Housers logo" descr="AI Housers — Houser Technologies LLC" title="AI Houser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9" cstate="none"/>
                    <a:srcRect/>
                    <a:stretch>
                      <a:fillRect/>
                    </a:stretch>
                  </pic:blipFill>
                  <pic:spPr bwMode="auto">
                    <a:xfrm>
                      <a:off x="0" y="0"/>
                      <a:ext cx="1685925" cy="457200"/>
                    </a:xfrm>
                    <a:prstGeom prst="rect">
                      <a:avLst/>
                    </a:prstGeom>
                  </pic:spPr>
                </pic:pic>
              </a:graphicData>
            </a:graphic>
          </wp:inline>
        </w:drawing>
      </w:r>
    </w:p>
    <w:p>
      <w:pPr>
        <w:pBdr>
          <w:bottom w:val="single" w:color="154360" w:sz="6" w:space="4"/>
        </w:pBdr>
        <w:spacing w:after="0" w:before="60"/>
      </w:pPr>
      <w:r>
        <w:rPr>
          <w:rFonts w:ascii="Arial" w:cs="Arial" w:eastAsia="Arial" w:hAnsi="Arial"/>
          <w:color w:val="4B5563"/>
          <w:sz w:val="17"/>
          <w:szCs w:val="17"/>
        </w:rPr>
        <w:t xml:space="preserve">Prepared from aihousers.com/road-to-housing</w:t>
      </w:r>
    </w:p>
    <w:p>
      <w:pPr>
        <w:spacing w:after="140" w:before="200"/>
      </w:pPr>
      <w:r>
        <w:rPr>
          <w:rFonts w:ascii="Arial" w:cs="Arial" w:eastAsia="Arial" w:hAnsi="Arial"/>
          <w:b/>
          <w:bCs/>
          <w:color w:val="154360"/>
          <w:spacing w:val="40"/>
          <w:sz w:val="40"/>
          <w:szCs w:val="40"/>
        </w:rPr>
        <w:t xml:space="preserve">MEMORANDUM</w:t>
      </w:r>
    </w:p>
    <w:p>
      <w:pPr>
        <w:tabs>
          <w:tab w:val="left" w:pos="1100"/>
        </w:tabs>
        <w:spacing w:after="40" w:line="276"/>
        <w:ind w:left="1100" w:hanging="1100"/>
      </w:pPr>
      <w:r>
        <w:rPr>
          <w:rFonts w:ascii="Arial" w:cs="Arial" w:eastAsia="Arial" w:hAnsi="Arial"/>
          <w:b/>
          <w:bCs/>
          <w:color w:val="154360"/>
          <w:sz w:val="22"/>
          <w:szCs w:val="22"/>
        </w:rPr>
        <w:t xml:space="preserve">TO:	</w:t>
      </w:r>
      <w:r>
        <w:rPr>
          <w:rFonts w:ascii="Arial" w:cs="Arial" w:eastAsia="Arial" w:hAnsi="Arial"/>
          <w:color w:val="1A1A2E"/>
          <w:sz w:val="22"/>
          <w:szCs w:val="22"/>
        </w:rPr>
        <w:t xml:space="preserve">[Board / Leadership Team]</w:t>
      </w:r>
    </w:p>
    <w:p>
      <w:pPr>
        <w:tabs>
          <w:tab w:val="left" w:pos="1100"/>
        </w:tabs>
        <w:spacing w:after="40" w:line="276"/>
        <w:ind w:left="1100" w:hanging="1100"/>
      </w:pPr>
      <w:r>
        <w:rPr>
          <w:rFonts w:ascii="Arial" w:cs="Arial" w:eastAsia="Arial" w:hAnsi="Arial"/>
          <w:b/>
          <w:bCs/>
          <w:color w:val="154360"/>
          <w:sz w:val="22"/>
          <w:szCs w:val="22"/>
        </w:rPr>
        <w:t xml:space="preserve">FROM:	</w:t>
      </w:r>
      <w:r>
        <w:rPr>
          <w:rFonts w:ascii="Arial" w:cs="Arial" w:eastAsia="Arial" w:hAnsi="Arial"/>
          <w:color w:val="1A1A2E"/>
          <w:sz w:val="22"/>
          <w:szCs w:val="22"/>
        </w:rPr>
        <w:t xml:space="preserve">[Name, Title]</w:t>
      </w:r>
    </w:p>
    <w:p>
      <w:pPr>
        <w:tabs>
          <w:tab w:val="left" w:pos="1100"/>
        </w:tabs>
        <w:spacing w:after="40" w:line="276"/>
        <w:ind w:left="1100" w:hanging="1100"/>
      </w:pPr>
      <w:r>
        <w:rPr>
          <w:rFonts w:ascii="Arial" w:cs="Arial" w:eastAsia="Arial" w:hAnsi="Arial"/>
          <w:b/>
          <w:bCs/>
          <w:color w:val="154360"/>
          <w:sz w:val="22"/>
          <w:szCs w:val="22"/>
        </w:rPr>
        <w:t xml:space="preserve">DATE:	</w:t>
      </w:r>
      <w:r>
        <w:rPr>
          <w:rFonts w:ascii="Arial" w:cs="Arial" w:eastAsia="Arial" w:hAnsi="Arial"/>
          <w:color w:val="1A1A2E"/>
          <w:sz w:val="22"/>
          <w:szCs w:val="22"/>
        </w:rPr>
        <w:t xml:space="preserve">[Date]</w:t>
      </w:r>
    </w:p>
    <w:p>
      <w:pPr>
        <w:tabs>
          <w:tab w:val="left" w:pos="1100"/>
        </w:tabs>
        <w:spacing w:after="0" w:line="276"/>
        <w:ind w:left="1100" w:hanging="1100"/>
      </w:pPr>
      <w:r>
        <w:rPr>
          <w:rFonts w:ascii="Arial" w:cs="Arial" w:eastAsia="Arial" w:hAnsi="Arial"/>
          <w:b/>
          <w:bCs/>
          <w:color w:val="154360"/>
          <w:sz w:val="22"/>
          <w:szCs w:val="22"/>
        </w:rPr>
        <w:t xml:space="preserve">RE:	</w:t>
      </w:r>
      <w:r>
        <w:rPr>
          <w:rFonts w:ascii="Arial" w:cs="Arial" w:eastAsia="Arial" w:hAnsi="Arial"/>
          <w:color w:val="1A1A2E"/>
          <w:sz w:val="22"/>
          <w:szCs w:val="22"/>
        </w:rPr>
        <w:t xml:space="preserve">What the 21st Century ROAD to Housing Act means for [Agency Name] (Veterans &amp; Homelessness Programs)</w:t>
      </w:r>
    </w:p>
    <w:p>
      <w:pPr>
        <w:pBdr>
          <w:bottom w:val="single" w:color="DDE3EA" w:sz="4" w:space="6"/>
        </w:pBdr>
        <w:spacing w:after="160"/>
      </w:pPr>
      <w:r>
        <w:rPr>
          <w:rFonts w:ascii="Arial" w:cs="Arial" w:eastAsia="Arial" w:hAnsi="Arial"/>
          <w:color w:val="1A1A2E"/>
          <w:sz w:val="4"/>
          <w:szCs w:val="4"/>
        </w:rPr>
        <w:t xml:space="preserve"/>
      </w:r>
    </w:p>
    <w:p>
      <w:pPr>
        <w:pStyle w:val="Heading1"/>
        <w:keepNext/>
        <w:spacing w:after="100" w:before="280" w:line="276"/>
      </w:pPr>
      <w:r>
        <w:rPr>
          <w:rFonts w:ascii="Arial" w:cs="Arial" w:eastAsia="Arial" w:hAnsi="Arial"/>
          <w:b/>
          <w:bCs/>
          <w:color w:val="154360"/>
          <w:sz w:val="26"/>
          <w:szCs w:val="26"/>
        </w:rPr>
        <w:t xml:space="preserve">1. Bottom line</w:t>
      </w:r>
    </w:p>
    <w:p>
      <w:pPr>
        <w:spacing w:after="120" w:line="336"/>
      </w:pPr>
      <w:r>
        <w:rPr>
          <w:rFonts w:ascii="Arial" w:cs="Arial" w:eastAsia="Arial" w:hAnsi="Arial"/>
          <w:b/>
          <w:bCs/>
          <w:color w:val="154360"/>
          <w:sz w:val="22"/>
          <w:szCs w:val="22"/>
        </w:rPr>
        <w:t xml:space="preserve">Section 602 keeps VA disability benefits from disqualifying veterans from HUD-VASH, Section 503 lets ESG recipients waive the 60% shelter and outreach cap for FY2027–2030 (with an anti-displacement condition), and Sections 601 and 603 put VA-loan prompts on the URLA within six months — but the Continuum of Care reforms were dropped.</w:t>
      </w:r>
    </w:p>
    <w:p>
      <w:pPr>
        <w:spacing w:after="120" w:line="336"/>
      </w:pPr>
      <w:r>
        <w:rPr>
          <w:rFonts w:ascii="Arial" w:cs="Arial" w:eastAsia="Arial" w:hAnsi="Arial"/>
          <w:color w:val="1A1A2E"/>
          <w:sz w:val="22"/>
          <w:szCs w:val="22"/>
        </w:rPr>
        <w:t xml:space="preserve">C.  chapters 11 and 15) when determining income eligibility for HUD-VASH and for VASH households seeking other assistance — codifying HUD practice so it cannot be reversed by notice — while leaving rent calculations unchanged; it also applies to veterans renting HUD-assisted units built on VA property after enactment.</w:t>
      </w:r>
    </w:p>
    <w:p>
      <w:pPr>
        <w:pStyle w:val="Heading1"/>
        <w:keepNext/>
        <w:spacing w:after="100" w:before="280" w:line="276"/>
      </w:pPr>
      <w:r>
        <w:rPr>
          <w:rFonts w:ascii="Arial" w:cs="Arial" w:eastAsia="Arial" w:hAnsi="Arial"/>
          <w:b/>
          <w:bCs/>
          <w:color w:val="154360"/>
          <w:sz w:val="26"/>
          <w:szCs w:val="26"/>
        </w:rPr>
        <w:t xml:space="preserve">2. What the law is</w:t>
      </w:r>
    </w:p>
    <w:p>
      <w:pPr>
        <w:pStyle w:val="ListParagraph"/>
        <w:numPr>
          <w:ilvl w:val="0"/>
          <w:numId w:val="2"/>
        </w:numPr>
        <w:spacing w:after="60" w:line="336"/>
      </w:pPr>
      <w:r>
        <w:rPr>
          <w:rFonts w:ascii="Arial" w:cs="Arial" w:eastAsia="Arial" w:hAnsi="Arial"/>
          <w:color w:val="1A1A2E"/>
          <w:sz w:val="22"/>
          <w:szCs w:val="22"/>
        </w:rPr>
        <w:t xml:space="preserve">21st Century ROAD to Housing Act — H.R. 6644 (119th Congress), Public Law 119-101. </w:t>
      </w:r>
      <w:r>
        <w:rPr>
          <w:rFonts w:ascii="Arial" w:cs="Arial" w:eastAsia="Arial" w:hAnsi="Arial"/>
          <w:color w:val="1A1A2E"/>
          <w:sz w:val="22"/>
          <w:szCs w:val="22"/>
        </w:rPr>
        <w:t xml:space="preserve">Enacted July 11, 2026 — became law without the President’s signature.</w:t>
      </w:r>
    </w:p>
    <w:p>
      <w:pPr>
        <w:pStyle w:val="ListParagraph"/>
        <w:numPr>
          <w:ilvl w:val="0"/>
          <w:numId w:val="2"/>
        </w:numPr>
        <w:spacing w:after="60" w:line="336"/>
      </w:pPr>
      <w:r>
        <w:rPr>
          <w:rFonts w:ascii="Arial" w:cs="Arial" w:eastAsia="Arial" w:hAnsi="Arial"/>
          <w:color w:val="1A1A2E"/>
          <w:sz w:val="22"/>
          <w:szCs w:val="22"/>
        </w:rPr>
        <w:t xml:space="preserve">12 titles and 60 sections (Sec. 1 plus Secs. 101–1202), reforming how existing HUD, USDA, FHA, and VA housing programs run.</w:t>
      </w:r>
    </w:p>
    <w:p>
      <w:pPr>
        <w:pStyle w:val="ListParagraph"/>
        <w:numPr>
          <w:ilvl w:val="0"/>
          <w:numId w:val="2"/>
        </w:numPr>
        <w:spacing w:after="60" w:line="336"/>
      </w:pPr>
      <w:r>
        <w:rPr>
          <w:rFonts w:ascii="Arial" w:cs="Arial" w:eastAsia="Arial" w:hAnsi="Arial"/>
          <w:color w:val="1A1A2E"/>
          <w:sz w:val="22"/>
          <w:szCs w:val="22"/>
        </w:rPr>
        <w:t xml:space="preserve">Final passage: Senate 85–5, June 22, 2026 (Vote 182); House 358–32, June 23, 2026 (Roll Call 224) — cleared for the President.</w:t>
      </w:r>
    </w:p>
    <w:p>
      <w:pPr>
        <w:pStyle w:val="ListParagraph"/>
        <w:numPr>
          <w:ilvl w:val="0"/>
          <w:numId w:val="2"/>
        </w:numPr>
        <w:spacing w:after="60" w:line="336"/>
      </w:pPr>
      <w:r>
        <w:rPr>
          <w:rFonts w:ascii="Arial" w:cs="Arial" w:eastAsia="Arial" w:hAnsi="Arial"/>
          <w:color w:val="1A1A2E"/>
          <w:sz w:val="22"/>
          <w:szCs w:val="22"/>
        </w:rPr>
        <w:t xml:space="preserve">Money: the Act is mostly authorizations and reforms, not appropriations. Sec. 1202 authorizes no additional funds; the largest new authorization is the Innovation Fund at $200M / yr (Sec. 208), not yet appropriated.</w:t>
      </w:r>
    </w:p>
    <w:p>
      <w:pPr>
        <w:pStyle w:val="ListParagraph"/>
        <w:numPr>
          <w:ilvl w:val="0"/>
          <w:numId w:val="2"/>
        </w:numPr>
        <w:spacing w:after="60" w:line="336"/>
      </w:pPr>
      <w:r>
        <w:rPr>
          <w:rFonts w:ascii="Arial" w:cs="Arial" w:eastAsia="Arial" w:hAnsi="Arial"/>
          <w:color w:val="1A1A2E"/>
          <w:sz w:val="22"/>
          <w:szCs w:val="22"/>
        </w:rPr>
        <w:t xml:space="preserve">Clock: the first big deadline cluster lands Jan 7, 2027 — 180 days after enactment — investor ban takes effect; several HUD/USDA deliverables due.</w:t>
      </w:r>
    </w:p>
    <w:p>
      <w:pPr>
        <w:pStyle w:val="Heading1"/>
        <w:keepNext/>
        <w:spacing w:after="100" w:before="280" w:line="276"/>
      </w:pPr>
      <w:r>
        <w:rPr>
          <w:rFonts w:ascii="Arial" w:cs="Arial" w:eastAsia="Arial" w:hAnsi="Arial"/>
          <w:b/>
          <w:bCs/>
          <w:color w:val="154360"/>
          <w:sz w:val="26"/>
          <w:szCs w:val="26"/>
        </w:rPr>
        <w:t xml:space="preserve">3. What changes for us</w:t>
      </w:r>
    </w:p>
    <w:p>
      <w:pPr>
        <w:spacing w:after="120" w:line="336"/>
      </w:pPr>
      <w:r>
        <w:rPr>
          <w:rFonts w:ascii="Arial" w:cs="Arial" w:eastAsia="Arial" w:hAnsi="Arial"/>
          <w:color w:val="1A1A2E"/>
          <w:sz w:val="22"/>
          <w:szCs w:val="22"/>
        </w:rPr>
        <w:t xml:space="preserve">The provisions most relevant to veterans &amp; homelessness programs, in section order. Full plain-language summaries are on the hub.</w:t>
      </w:r>
    </w:p>
    <w:tbl>
      <w:tblPr>
        <w:tblW w:type="dxa" w:w="10080"/>
        <w:tblBorders>
          <w:top w:val="single" w:color="auto" w:sz="4"/>
          <w:left w:val="single" w:color="auto" w:sz="4"/>
          <w:bottom w:val="single" w:color="auto" w:sz="4"/>
          <w:right w:val="single" w:color="auto" w:sz="4"/>
          <w:insideH w:val="single" w:color="auto" w:sz="4"/>
          <w:insideV w:val="single" w:color="auto" w:sz="4"/>
        </w:tblBorders>
      </w:tblPr>
      <w:tblGrid>
        <w:gridCol w:w="1150"/>
        <w:gridCol w:w="3030"/>
        <w:gridCol w:w="5900"/>
      </w:tblGrid>
      <w:tr>
        <w:trPr>
          <w:cantSplit/>
          <w:tblHeader/>
        </w:trPr>
        <w:tc>
          <w:tcPr>
            <w:tcW w:type="dxa" w:w="1150"/>
            <w:tcBorders>
              <w:top w:val="single" w:color="DDE3EA" w:sz="4"/>
              <w:left w:val="single" w:color="DDE3EA" w:sz="4"/>
              <w:bottom w:val="single" w:color="DDE3EA" w:sz="4"/>
              <w:right w:val="single" w:color="DDE3EA" w:sz="4"/>
            </w:tcBorders>
            <w:shd w:fill="154360" w:color="auto" w:val="clear"/>
            <w:tcMar>
              <w:top w:type="dxa" w:w="70"/>
              <w:left w:type="dxa" w:w="100"/>
              <w:bottom w:type="dxa" w:w="70"/>
              <w:right w:type="dxa" w:w="100"/>
            </w:tcMar>
            <w:vAlign w:val="top"/>
          </w:tcPr>
          <w:p>
            <w:pPr>
              <w:spacing w:after="0" w:line="264"/>
            </w:pPr>
            <w:r>
              <w:rPr>
                <w:rFonts w:ascii="Arial" w:cs="Arial" w:eastAsia="Arial" w:hAnsi="Arial"/>
                <w:b/>
                <w:bCs/>
                <w:color w:val="FFFFFF"/>
                <w:sz w:val="20"/>
                <w:szCs w:val="20"/>
              </w:rPr>
              <w:t xml:space="preserve">Sec.</w:t>
            </w:r>
          </w:p>
        </w:tc>
        <w:tc>
          <w:tcPr>
            <w:tcW w:type="dxa" w:w="3030"/>
            <w:tcBorders>
              <w:top w:val="single" w:color="DDE3EA" w:sz="4"/>
              <w:left w:val="single" w:color="DDE3EA" w:sz="4"/>
              <w:bottom w:val="single" w:color="DDE3EA" w:sz="4"/>
              <w:right w:val="single" w:color="DDE3EA" w:sz="4"/>
            </w:tcBorders>
            <w:shd w:fill="154360" w:color="auto" w:val="clear"/>
            <w:tcMar>
              <w:top w:type="dxa" w:w="70"/>
              <w:left w:type="dxa" w:w="100"/>
              <w:bottom w:type="dxa" w:w="70"/>
              <w:right w:type="dxa" w:w="100"/>
            </w:tcMar>
            <w:vAlign w:val="top"/>
          </w:tcPr>
          <w:p>
            <w:pPr>
              <w:spacing w:after="0" w:line="264"/>
            </w:pPr>
            <w:r>
              <w:rPr>
                <w:rFonts w:ascii="Arial" w:cs="Arial" w:eastAsia="Arial" w:hAnsi="Arial"/>
                <w:b/>
                <w:bCs/>
                <w:color w:val="FFFFFF"/>
                <w:sz w:val="20"/>
                <w:szCs w:val="20"/>
              </w:rPr>
              <w:t xml:space="preserve">Provision</w:t>
            </w:r>
          </w:p>
        </w:tc>
        <w:tc>
          <w:tcPr>
            <w:tcW w:type="dxa" w:w="5900"/>
            <w:tcBorders>
              <w:top w:val="single" w:color="DDE3EA" w:sz="4"/>
              <w:left w:val="single" w:color="DDE3EA" w:sz="4"/>
              <w:bottom w:val="single" w:color="DDE3EA" w:sz="4"/>
              <w:right w:val="single" w:color="DDE3EA" w:sz="4"/>
            </w:tcBorders>
            <w:shd w:fill="154360" w:color="auto" w:val="clear"/>
            <w:tcMar>
              <w:top w:type="dxa" w:w="70"/>
              <w:left w:type="dxa" w:w="100"/>
              <w:bottom w:type="dxa" w:w="70"/>
              <w:right w:type="dxa" w:w="100"/>
            </w:tcMar>
            <w:vAlign w:val="top"/>
          </w:tcPr>
          <w:p>
            <w:pPr>
              <w:spacing w:after="0" w:line="264"/>
            </w:pPr>
            <w:r>
              <w:rPr>
                <w:rFonts w:ascii="Arial" w:cs="Arial" w:eastAsia="Arial" w:hAnsi="Arial"/>
                <w:b/>
                <w:bCs/>
                <w:color w:val="FFFFFF"/>
                <w:sz w:val="20"/>
                <w:szCs w:val="20"/>
              </w:rPr>
              <w:t xml:space="preserve">What it means</w:t>
            </w:r>
          </w:p>
        </w:tc>
      </w:tr>
      <w:tr>
        <w:trPr>
          <w:cantSplit/>
        </w:trPr>
        <w:tc>
          <w:tcPr>
            <w:tcW w:type="dxa" w:w="1150"/>
            <w:tcBorders>
              <w:top w:val="single" w:color="DDE3EA" w:sz="4"/>
              <w:left w:val="single" w:color="DDE3EA" w:sz="4"/>
              <w:bottom w:val="single" w:color="DDE3EA" w:sz="4"/>
              <w:right w:val="single" w:color="DDE3EA" w:sz="4"/>
            </w:tcBorders>
            <w:tcMar>
              <w:top w:type="dxa" w:w="70"/>
              <w:left w:type="dxa" w:w="100"/>
              <w:bottom w:type="dxa" w:w="70"/>
              <w:right w:type="dxa" w:w="100"/>
            </w:tcMar>
            <w:vAlign w:val="top"/>
          </w:tcPr>
          <w:p>
            <w:pPr>
              <w:spacing w:after="0" w:line="264"/>
            </w:pPr>
            <w:r>
              <w:rPr>
                <w:rFonts w:ascii="Arial" w:cs="Arial" w:eastAsia="Arial" w:hAnsi="Arial"/>
                <w:b/>
                <w:bCs/>
                <w:color w:val="1A1A2E"/>
                <w:sz w:val="20"/>
                <w:szCs w:val="20"/>
              </w:rPr>
              <w:t xml:space="preserve">Sec. 602</w:t>
            </w:r>
          </w:p>
        </w:tc>
        <w:tc>
          <w:tcPr>
            <w:tcW w:type="dxa" w:w="3030"/>
            <w:tcBorders>
              <w:top w:val="single" w:color="DDE3EA" w:sz="4"/>
              <w:left w:val="single" w:color="DDE3EA" w:sz="4"/>
              <w:bottom w:val="single" w:color="DDE3EA" w:sz="4"/>
              <w:right w:val="single" w:color="DDE3EA" w:sz="4"/>
            </w:tcBorders>
            <w:tcMar>
              <w:top w:type="dxa" w:w="70"/>
              <w:left w:type="dxa" w:w="100"/>
              <w:bottom w:type="dxa" w:w="70"/>
              <w:right w:type="dxa" w:w="100"/>
            </w:tcMar>
            <w:vAlign w:val="top"/>
          </w:tcPr>
          <w:p>
            <w:pPr>
              <w:spacing w:after="0" w:line="264"/>
            </w:pPr>
            <w:r>
              <w:rPr>
                <w:rFonts w:ascii="Arial" w:cs="Arial" w:eastAsia="Arial" w:hAnsi="Arial"/>
                <w:b w:val="false"/>
                <w:bCs w:val="false"/>
                <w:color w:val="1A1A2E"/>
                <w:sz w:val="20"/>
                <w:szCs w:val="20"/>
              </w:rPr>
              <w:t xml:space="preserve">Housing Unhoused Disabled Veterans Act</w:t>
            </w:r>
          </w:p>
        </w:tc>
        <w:tc>
          <w:tcPr>
            <w:tcW w:type="dxa" w:w="5900"/>
            <w:tcBorders>
              <w:top w:val="single" w:color="DDE3EA" w:sz="4"/>
              <w:left w:val="single" w:color="DDE3EA" w:sz="4"/>
              <w:bottom w:val="single" w:color="DDE3EA" w:sz="4"/>
              <w:right w:val="single" w:color="DDE3EA" w:sz="4"/>
            </w:tcBorders>
            <w:tcMar>
              <w:top w:type="dxa" w:w="70"/>
              <w:left w:type="dxa" w:w="100"/>
              <w:bottom w:type="dxa" w:w="70"/>
              <w:right w:type="dxa" w:w="100"/>
            </w:tcMar>
            <w:vAlign w:val="top"/>
          </w:tcPr>
          <w:p>
            <w:pPr>
              <w:spacing w:after="0" w:line="264"/>
            </w:pPr>
            <w:r>
              <w:rPr>
                <w:rFonts w:ascii="Arial" w:cs="Arial" w:eastAsia="Arial" w:hAnsi="Arial"/>
                <w:b w:val="false"/>
                <w:bCs w:val="false"/>
                <w:color w:val="1A1A2E"/>
                <w:sz w:val="20"/>
                <w:szCs w:val="20"/>
              </w:rPr>
              <w:t xml:space="preserve">Fixes a long-standing barrier for disabled veterans: VA disability compensation and pension (38 U.S.C. chapters 11 and 15) no longer counts when determining income eligibility for HUD-VASH, or when a HUD-VASH household is evaluated for other housing assistance.</w:t>
            </w:r>
          </w:p>
        </w:tc>
      </w:tr>
      <w:tr>
        <w:trPr>
          <w:cantSplit/>
        </w:trPr>
        <w:tc>
          <w:tcPr>
            <w:tcW w:type="dxa" w:w="1150"/>
            <w:tcBorders>
              <w:top w:val="single" w:color="DDE3EA" w:sz="4"/>
              <w:left w:val="single" w:color="DDE3EA" w:sz="4"/>
              <w:bottom w:val="single" w:color="DDE3EA" w:sz="4"/>
              <w:right w:val="single" w:color="DDE3EA" w:sz="4"/>
            </w:tcBorders>
            <w:shd w:fill="EFF2F6" w:color="auto" w:val="clear"/>
            <w:tcMar>
              <w:top w:type="dxa" w:w="70"/>
              <w:left w:type="dxa" w:w="100"/>
              <w:bottom w:type="dxa" w:w="70"/>
              <w:right w:type="dxa" w:w="100"/>
            </w:tcMar>
            <w:vAlign w:val="top"/>
          </w:tcPr>
          <w:p>
            <w:pPr>
              <w:spacing w:after="0" w:line="264"/>
            </w:pPr>
            <w:r>
              <w:rPr>
                <w:rFonts w:ascii="Arial" w:cs="Arial" w:eastAsia="Arial" w:hAnsi="Arial"/>
                <w:b/>
                <w:bCs/>
                <w:color w:val="1A1A2E"/>
                <w:sz w:val="20"/>
                <w:szCs w:val="20"/>
              </w:rPr>
              <w:t xml:space="preserve">Sec. 601</w:t>
            </w:r>
          </w:p>
        </w:tc>
        <w:tc>
          <w:tcPr>
            <w:tcW w:type="dxa" w:w="3030"/>
            <w:tcBorders>
              <w:top w:val="single" w:color="DDE3EA" w:sz="4"/>
              <w:left w:val="single" w:color="DDE3EA" w:sz="4"/>
              <w:bottom w:val="single" w:color="DDE3EA" w:sz="4"/>
              <w:right w:val="single" w:color="DDE3EA" w:sz="4"/>
            </w:tcBorders>
            <w:shd w:fill="EFF2F6" w:color="auto" w:val="clear"/>
            <w:tcMar>
              <w:top w:type="dxa" w:w="70"/>
              <w:left w:type="dxa" w:w="100"/>
              <w:bottom w:type="dxa" w:w="70"/>
              <w:right w:type="dxa" w:w="100"/>
            </w:tcMar>
            <w:vAlign w:val="top"/>
          </w:tcPr>
          <w:p>
            <w:pPr>
              <w:spacing w:after="0" w:line="264"/>
            </w:pPr>
            <w:r>
              <w:rPr>
                <w:rFonts w:ascii="Arial" w:cs="Arial" w:eastAsia="Arial" w:hAnsi="Arial"/>
                <w:b w:val="false"/>
                <w:bCs w:val="false"/>
                <w:color w:val="1A1A2E"/>
                <w:sz w:val="20"/>
                <w:szCs w:val="20"/>
              </w:rPr>
              <w:t xml:space="preserve">Military Service Question</w:t>
            </w:r>
          </w:p>
        </w:tc>
        <w:tc>
          <w:tcPr>
            <w:tcW w:type="dxa" w:w="5900"/>
            <w:tcBorders>
              <w:top w:val="single" w:color="DDE3EA" w:sz="4"/>
              <w:left w:val="single" w:color="DDE3EA" w:sz="4"/>
              <w:bottom w:val="single" w:color="DDE3EA" w:sz="4"/>
              <w:right w:val="single" w:color="DDE3EA" w:sz="4"/>
            </w:tcBorders>
            <w:shd w:fill="EFF2F6" w:color="auto" w:val="clear"/>
            <w:tcMar>
              <w:top w:type="dxa" w:w="70"/>
              <w:left w:type="dxa" w:w="100"/>
              <w:bottom w:type="dxa" w:w="70"/>
              <w:right w:type="dxa" w:w="100"/>
            </w:tcMar>
            <w:vAlign w:val="top"/>
          </w:tcPr>
          <w:p>
            <w:pPr>
              <w:spacing w:after="0" w:line="264"/>
            </w:pPr>
            <w:r>
              <w:rPr>
                <w:rFonts w:ascii="Arial" w:cs="Arial" w:eastAsia="Arial" w:hAnsi="Arial"/>
                <w:b w:val="false"/>
                <w:bCs w:val="false"/>
                <w:color w:val="1A1A2E"/>
                <w:sz w:val="20"/>
                <w:szCs w:val="20"/>
              </w:rPr>
              <w:t xml:space="preserve">Requires FHFA to make Fannie Mae and Freddie Mac add a short prompt to the Uniform Residential Loan Application, right below the military-service question and above the signature line: "If yes, you may qualify for a VA Home Loan.</w:t>
            </w:r>
          </w:p>
        </w:tc>
      </w:tr>
      <w:tr>
        <w:trPr>
          <w:cantSplit/>
        </w:trPr>
        <w:tc>
          <w:tcPr>
            <w:tcW w:type="dxa" w:w="1150"/>
            <w:tcBorders>
              <w:top w:val="single" w:color="DDE3EA" w:sz="4"/>
              <w:left w:val="single" w:color="DDE3EA" w:sz="4"/>
              <w:bottom w:val="single" w:color="DDE3EA" w:sz="4"/>
              <w:right w:val="single" w:color="DDE3EA" w:sz="4"/>
            </w:tcBorders>
            <w:tcMar>
              <w:top w:type="dxa" w:w="70"/>
              <w:left w:type="dxa" w:w="100"/>
              <w:bottom w:type="dxa" w:w="70"/>
              <w:right w:type="dxa" w:w="100"/>
            </w:tcMar>
            <w:vAlign w:val="top"/>
          </w:tcPr>
          <w:p>
            <w:pPr>
              <w:spacing w:after="0" w:line="264"/>
            </w:pPr>
            <w:r>
              <w:rPr>
                <w:rFonts w:ascii="Arial" w:cs="Arial" w:eastAsia="Arial" w:hAnsi="Arial"/>
                <w:b/>
                <w:bCs/>
                <w:color w:val="1A1A2E"/>
                <w:sz w:val="20"/>
                <w:szCs w:val="20"/>
              </w:rPr>
              <w:t xml:space="preserve">Sec. 603</w:t>
            </w:r>
          </w:p>
        </w:tc>
        <w:tc>
          <w:tcPr>
            <w:tcW w:type="dxa" w:w="3030"/>
            <w:tcBorders>
              <w:top w:val="single" w:color="DDE3EA" w:sz="4"/>
              <w:left w:val="single" w:color="DDE3EA" w:sz="4"/>
              <w:bottom w:val="single" w:color="DDE3EA" w:sz="4"/>
              <w:right w:val="single" w:color="DDE3EA" w:sz="4"/>
            </w:tcBorders>
            <w:tcMar>
              <w:top w:type="dxa" w:w="70"/>
              <w:left w:type="dxa" w:w="100"/>
              <w:bottom w:type="dxa" w:w="70"/>
              <w:right w:type="dxa" w:w="100"/>
            </w:tcMar>
            <w:vAlign w:val="top"/>
          </w:tcPr>
          <w:p>
            <w:pPr>
              <w:spacing w:after="0" w:line="264"/>
            </w:pPr>
            <w:r>
              <w:rPr>
                <w:rFonts w:ascii="Arial" w:cs="Arial" w:eastAsia="Arial" w:hAnsi="Arial"/>
                <w:b w:val="false"/>
                <w:bCs w:val="false"/>
                <w:color w:val="1A1A2E"/>
                <w:sz w:val="20"/>
                <w:szCs w:val="20"/>
              </w:rPr>
              <w:t xml:space="preserve">Veterans Affairs Loan Informed Disclosure (VALID) Act</w:t>
            </w:r>
          </w:p>
        </w:tc>
        <w:tc>
          <w:tcPr>
            <w:tcW w:type="dxa" w:w="5900"/>
            <w:tcBorders>
              <w:top w:val="single" w:color="DDE3EA" w:sz="4"/>
              <w:left w:val="single" w:color="DDE3EA" w:sz="4"/>
              <w:bottom w:val="single" w:color="DDE3EA" w:sz="4"/>
              <w:right w:val="single" w:color="DDE3EA" w:sz="4"/>
            </w:tcBorders>
            <w:tcMar>
              <w:top w:type="dxa" w:w="70"/>
              <w:left w:type="dxa" w:w="100"/>
              <w:bottom w:type="dxa" w:w="70"/>
              <w:right w:type="dxa" w:w="100"/>
            </w:tcMar>
            <w:vAlign w:val="top"/>
          </w:tcPr>
          <w:p>
            <w:pPr>
              <w:spacing w:after="0" w:line="264"/>
            </w:pPr>
            <w:r>
              <w:rPr>
                <w:rFonts w:ascii="Arial" w:cs="Arial" w:eastAsia="Arial" w:hAnsi="Arial"/>
                <w:b w:val="false"/>
                <w:bCs w:val="false"/>
                <w:color w:val="1A1A2E"/>
                <w:sz w:val="20"/>
                <w:szCs w:val="20"/>
              </w:rPr>
              <w:t xml:space="preserve">Makes sure borrowers who might qualify for a VA loan learn about it.  The FHA "informed consumer choice" disclosure must now compare the cost of FHA insurance against a VA-guaranteed loan at prevailing rates (lenders need not determine VA eligibility), and FHFA must require the Enterprises to put a Yes/No/Prefer Not To Answer military-service question abo…</w:t>
            </w:r>
          </w:p>
        </w:tc>
      </w:tr>
      <w:tr>
        <w:trPr>
          <w:cantSplit/>
        </w:trPr>
        <w:tc>
          <w:tcPr>
            <w:tcW w:type="dxa" w:w="1150"/>
            <w:tcBorders>
              <w:top w:val="single" w:color="DDE3EA" w:sz="4"/>
              <w:left w:val="single" w:color="DDE3EA" w:sz="4"/>
              <w:bottom w:val="single" w:color="DDE3EA" w:sz="4"/>
              <w:right w:val="single" w:color="DDE3EA" w:sz="4"/>
            </w:tcBorders>
            <w:shd w:fill="EFF2F6" w:color="auto" w:val="clear"/>
            <w:tcMar>
              <w:top w:type="dxa" w:w="70"/>
              <w:left w:type="dxa" w:w="100"/>
              <w:bottom w:type="dxa" w:w="70"/>
              <w:right w:type="dxa" w:w="100"/>
            </w:tcMar>
            <w:vAlign w:val="top"/>
          </w:tcPr>
          <w:p>
            <w:pPr>
              <w:spacing w:after="0" w:line="264"/>
            </w:pPr>
            <w:r>
              <w:rPr>
                <w:rFonts w:ascii="Arial" w:cs="Arial" w:eastAsia="Arial" w:hAnsi="Arial"/>
                <w:b/>
                <w:bCs/>
                <w:color w:val="1A1A2E"/>
                <w:sz w:val="20"/>
                <w:szCs w:val="20"/>
              </w:rPr>
              <w:t xml:space="preserve">Sec. 503</w:t>
            </w:r>
          </w:p>
        </w:tc>
        <w:tc>
          <w:tcPr>
            <w:tcW w:type="dxa" w:w="3030"/>
            <w:tcBorders>
              <w:top w:val="single" w:color="DDE3EA" w:sz="4"/>
              <w:left w:val="single" w:color="DDE3EA" w:sz="4"/>
              <w:bottom w:val="single" w:color="DDE3EA" w:sz="4"/>
              <w:right w:val="single" w:color="DDE3EA" w:sz="4"/>
            </w:tcBorders>
            <w:shd w:fill="EFF2F6" w:color="auto" w:val="clear"/>
            <w:tcMar>
              <w:top w:type="dxa" w:w="70"/>
              <w:left w:type="dxa" w:w="100"/>
              <w:bottom w:type="dxa" w:w="70"/>
              <w:right w:type="dxa" w:w="100"/>
            </w:tcMar>
            <w:vAlign w:val="top"/>
          </w:tcPr>
          <w:p>
            <w:pPr>
              <w:spacing w:after="0" w:line="264"/>
            </w:pPr>
            <w:r>
              <w:rPr>
                <w:rFonts w:ascii="Arial" w:cs="Arial" w:eastAsia="Arial" w:hAnsi="Arial"/>
                <w:b w:val="false"/>
                <w:bCs w:val="false"/>
                <w:color w:val="1A1A2E"/>
                <w:sz w:val="20"/>
                <w:szCs w:val="20"/>
              </w:rPr>
              <w:t xml:space="preserve">Incentivizing Local Solutions to Homelessness</w:t>
            </w:r>
          </w:p>
        </w:tc>
        <w:tc>
          <w:tcPr>
            <w:tcW w:type="dxa" w:w="5900"/>
            <w:tcBorders>
              <w:top w:val="single" w:color="DDE3EA" w:sz="4"/>
              <w:left w:val="single" w:color="DDE3EA" w:sz="4"/>
              <w:bottom w:val="single" w:color="DDE3EA" w:sz="4"/>
              <w:right w:val="single" w:color="DDE3EA" w:sz="4"/>
            </w:tcBorders>
            <w:shd w:fill="EFF2F6" w:color="auto" w:val="clear"/>
            <w:tcMar>
              <w:top w:type="dxa" w:w="70"/>
              <w:left w:type="dxa" w:w="100"/>
              <w:bottom w:type="dxa" w:w="70"/>
              <w:right w:type="dxa" w:w="100"/>
            </w:tcMar>
            <w:vAlign w:val="top"/>
          </w:tcPr>
          <w:p>
            <w:pPr>
              <w:spacing w:after="0" w:line="264"/>
            </w:pPr>
            <w:r>
              <w:rPr>
                <w:rFonts w:ascii="Arial" w:cs="Arial" w:eastAsia="Arial" w:hAnsi="Arial"/>
                <w:b w:val="false"/>
                <w:bCs w:val="false"/>
                <w:color w:val="1A1A2E"/>
                <w:sz w:val="20"/>
                <w:szCs w:val="20"/>
              </w:rPr>
              <w:t xml:space="preserve">Gives Emergency Solutions Grants (ESG) recipients a way to spend more than the statutory cap on emergency shelter and street outreach.</w:t>
            </w:r>
          </w:p>
        </w:tc>
      </w:tr>
      <w:tr>
        <w:trPr>
          <w:cantSplit/>
        </w:trPr>
        <w:tc>
          <w:tcPr>
            <w:tcW w:type="dxa" w:w="1150"/>
            <w:tcBorders>
              <w:top w:val="single" w:color="DDE3EA" w:sz="4"/>
              <w:left w:val="single" w:color="DDE3EA" w:sz="4"/>
              <w:bottom w:val="single" w:color="DDE3EA" w:sz="4"/>
              <w:right w:val="single" w:color="DDE3EA" w:sz="4"/>
            </w:tcBorders>
            <w:tcMar>
              <w:top w:type="dxa" w:w="70"/>
              <w:left w:type="dxa" w:w="100"/>
              <w:bottom w:type="dxa" w:w="70"/>
              <w:right w:type="dxa" w:w="100"/>
            </w:tcMar>
            <w:vAlign w:val="top"/>
          </w:tcPr>
          <w:p>
            <w:pPr>
              <w:spacing w:after="0" w:line="264"/>
            </w:pPr>
            <w:r>
              <w:rPr>
                <w:rFonts w:ascii="Arial" w:cs="Arial" w:eastAsia="Arial" w:hAnsi="Arial"/>
                <w:b/>
                <w:bCs/>
                <w:color w:val="1A1A2E"/>
                <w:sz w:val="20"/>
                <w:szCs w:val="20"/>
              </w:rPr>
              <w:t xml:space="preserve">Sec. 703</w:t>
            </w:r>
          </w:p>
        </w:tc>
        <w:tc>
          <w:tcPr>
            <w:tcW w:type="dxa" w:w="3030"/>
            <w:tcBorders>
              <w:top w:val="single" w:color="DDE3EA" w:sz="4"/>
              <w:left w:val="single" w:color="DDE3EA" w:sz="4"/>
              <w:bottom w:val="single" w:color="DDE3EA" w:sz="4"/>
              <w:right w:val="single" w:color="DDE3EA" w:sz="4"/>
            </w:tcBorders>
            <w:tcMar>
              <w:top w:type="dxa" w:w="70"/>
              <w:left w:type="dxa" w:w="100"/>
              <w:bottom w:type="dxa" w:w="70"/>
              <w:right w:type="dxa" w:w="100"/>
            </w:tcMar>
            <w:vAlign w:val="top"/>
          </w:tcPr>
          <w:p>
            <w:pPr>
              <w:spacing w:after="0" w:line="264"/>
            </w:pPr>
            <w:r>
              <w:rPr>
                <w:rFonts w:ascii="Arial" w:cs="Arial" w:eastAsia="Arial" w:hAnsi="Arial"/>
                <w:b w:val="false"/>
                <w:bCs w:val="false"/>
                <w:color w:val="1A1A2E"/>
                <w:sz w:val="20"/>
                <w:szCs w:val="20"/>
              </w:rPr>
              <w:t xml:space="preserve">United States Interagency Council on Homelessness Oversight</w:t>
            </w:r>
          </w:p>
        </w:tc>
        <w:tc>
          <w:tcPr>
            <w:tcW w:type="dxa" w:w="5900"/>
            <w:tcBorders>
              <w:top w:val="single" w:color="DDE3EA" w:sz="4"/>
              <w:left w:val="single" w:color="DDE3EA" w:sz="4"/>
              <w:bottom w:val="single" w:color="DDE3EA" w:sz="4"/>
              <w:right w:val="single" w:color="DDE3EA" w:sz="4"/>
            </w:tcBorders>
            <w:tcMar>
              <w:top w:type="dxa" w:w="70"/>
              <w:left w:type="dxa" w:w="100"/>
              <w:bottom w:type="dxa" w:w="70"/>
              <w:right w:type="dxa" w:w="100"/>
            </w:tcMar>
            <w:vAlign w:val="top"/>
          </w:tcPr>
          <w:p>
            <w:pPr>
              <w:spacing w:after="0" w:line="264"/>
            </w:pPr>
            <w:r>
              <w:rPr>
                <w:rFonts w:ascii="Arial" w:cs="Arial" w:eastAsia="Arial" w:hAnsi="Arial"/>
                <w:b w:val="false"/>
                <w:bCs w:val="false"/>
                <w:color w:val="1A1A2E"/>
                <w:sz w:val="20"/>
                <w:szCs w:val="20"/>
              </w:rPr>
              <w:t xml:space="preserve">S.  Interagency Council on Homelessness (USICH).</w:t>
            </w:r>
          </w:p>
        </w:tc>
      </w:tr>
      <w:tr>
        <w:trPr>
          <w:cantSplit/>
        </w:trPr>
        <w:tc>
          <w:tcPr>
            <w:tcW w:type="dxa" w:w="1150"/>
            <w:tcBorders>
              <w:top w:val="single" w:color="DDE3EA" w:sz="4"/>
              <w:left w:val="single" w:color="DDE3EA" w:sz="4"/>
              <w:bottom w:val="single" w:color="DDE3EA" w:sz="4"/>
              <w:right w:val="single" w:color="DDE3EA" w:sz="4"/>
            </w:tcBorders>
            <w:shd w:fill="EFF2F6" w:color="auto" w:val="clear"/>
            <w:tcMar>
              <w:top w:type="dxa" w:w="70"/>
              <w:left w:type="dxa" w:w="100"/>
              <w:bottom w:type="dxa" w:w="70"/>
              <w:right w:type="dxa" w:w="100"/>
            </w:tcMar>
            <w:vAlign w:val="top"/>
          </w:tcPr>
          <w:p>
            <w:pPr>
              <w:spacing w:after="0" w:line="264"/>
            </w:pPr>
            <w:r>
              <w:rPr>
                <w:rFonts w:ascii="Arial" w:cs="Arial" w:eastAsia="Arial" w:hAnsi="Arial"/>
                <w:b/>
                <w:bCs/>
                <w:color w:val="1A1A2E"/>
                <w:sz w:val="20"/>
                <w:szCs w:val="20"/>
              </w:rPr>
              <w:t xml:space="preserve">Sec. 801</w:t>
            </w:r>
          </w:p>
        </w:tc>
        <w:tc>
          <w:tcPr>
            <w:tcW w:type="dxa" w:w="3030"/>
            <w:tcBorders>
              <w:top w:val="single" w:color="DDE3EA" w:sz="4"/>
              <w:left w:val="single" w:color="DDE3EA" w:sz="4"/>
              <w:bottom w:val="single" w:color="DDE3EA" w:sz="4"/>
              <w:right w:val="single" w:color="DDE3EA" w:sz="4"/>
            </w:tcBorders>
            <w:shd w:fill="EFF2F6" w:color="auto" w:val="clear"/>
            <w:tcMar>
              <w:top w:type="dxa" w:w="70"/>
              <w:left w:type="dxa" w:w="100"/>
              <w:bottom w:type="dxa" w:w="70"/>
              <w:right w:type="dxa" w:w="100"/>
            </w:tcMar>
            <w:vAlign w:val="top"/>
          </w:tcPr>
          <w:p>
            <w:pPr>
              <w:spacing w:after="0" w:line="264"/>
            </w:pPr>
            <w:r>
              <w:rPr>
                <w:rFonts w:ascii="Arial" w:cs="Arial" w:eastAsia="Arial" w:hAnsi="Arial"/>
                <w:b w:val="false"/>
                <w:bCs w:val="false"/>
                <w:color w:val="1A1A2E"/>
                <w:sz w:val="20"/>
                <w:szCs w:val="20"/>
              </w:rPr>
              <w:t xml:space="preserve">HUD-USDA-VA Interagency Coordination Act</w:t>
            </w:r>
          </w:p>
        </w:tc>
        <w:tc>
          <w:tcPr>
            <w:tcW w:type="dxa" w:w="5900"/>
            <w:tcBorders>
              <w:top w:val="single" w:color="DDE3EA" w:sz="4"/>
              <w:left w:val="single" w:color="DDE3EA" w:sz="4"/>
              <w:bottom w:val="single" w:color="DDE3EA" w:sz="4"/>
              <w:right w:val="single" w:color="DDE3EA" w:sz="4"/>
            </w:tcBorders>
            <w:shd w:fill="EFF2F6" w:color="auto" w:val="clear"/>
            <w:tcMar>
              <w:top w:type="dxa" w:w="70"/>
              <w:left w:type="dxa" w:w="100"/>
              <w:bottom w:type="dxa" w:w="70"/>
              <w:right w:type="dxa" w:w="100"/>
            </w:tcMar>
            <w:vAlign w:val="top"/>
          </w:tcPr>
          <w:p>
            <w:pPr>
              <w:spacing w:after="0" w:line="264"/>
            </w:pPr>
            <w:r>
              <w:rPr>
                <w:rFonts w:ascii="Arial" w:cs="Arial" w:eastAsia="Arial" w:hAnsi="Arial"/>
                <w:b w:val="false"/>
                <w:bCs w:val="false"/>
                <w:color w:val="1A1A2E"/>
                <w:sz w:val="20"/>
                <w:szCs w:val="20"/>
              </w:rPr>
              <w:t xml:space="preserve">Directs the three federal housing agencies to share research and market data through an MOU and, within 180 days, to jointly report to Congress on collaboration opportunities and on federal laws and regulations that hurt the availability and affordability of new construction financed through FHA, USDA Title V and VA…</w:t>
            </w:r>
          </w:p>
        </w:tc>
      </w:tr>
      <w:tr>
        <w:trPr>
          <w:cantSplit/>
        </w:trPr>
        <w:tc>
          <w:tcPr>
            <w:tcW w:type="dxa" w:w="1150"/>
            <w:tcBorders>
              <w:top w:val="single" w:color="DDE3EA" w:sz="4"/>
              <w:left w:val="single" w:color="DDE3EA" w:sz="4"/>
              <w:bottom w:val="single" w:color="DDE3EA" w:sz="4"/>
              <w:right w:val="single" w:color="DDE3EA" w:sz="4"/>
            </w:tcBorders>
            <w:tcMar>
              <w:top w:type="dxa" w:w="70"/>
              <w:left w:type="dxa" w:w="100"/>
              <w:bottom w:type="dxa" w:w="70"/>
              <w:right w:type="dxa" w:w="100"/>
            </w:tcMar>
            <w:vAlign w:val="top"/>
          </w:tcPr>
          <w:p>
            <w:pPr>
              <w:spacing w:after="0" w:line="264"/>
            </w:pPr>
            <w:r>
              <w:rPr>
                <w:rFonts w:ascii="Arial" w:cs="Arial" w:eastAsia="Arial" w:hAnsi="Arial"/>
                <w:b/>
                <w:bCs/>
                <w:color w:val="1A1A2E"/>
                <w:sz w:val="20"/>
                <w:szCs w:val="20"/>
              </w:rPr>
              <w:t xml:space="preserve">Sec. 505</w:t>
            </w:r>
          </w:p>
        </w:tc>
        <w:tc>
          <w:tcPr>
            <w:tcW w:type="dxa" w:w="3030"/>
            <w:tcBorders>
              <w:top w:val="single" w:color="DDE3EA" w:sz="4"/>
              <w:left w:val="single" w:color="DDE3EA" w:sz="4"/>
              <w:bottom w:val="single" w:color="DDE3EA" w:sz="4"/>
              <w:right w:val="single" w:color="DDE3EA" w:sz="4"/>
            </w:tcBorders>
            <w:tcMar>
              <w:top w:type="dxa" w:w="70"/>
              <w:left w:type="dxa" w:w="100"/>
              <w:bottom w:type="dxa" w:w="70"/>
              <w:right w:type="dxa" w:w="100"/>
            </w:tcMar>
            <w:vAlign w:val="top"/>
          </w:tcPr>
          <w:p>
            <w:pPr>
              <w:spacing w:after="0" w:line="264"/>
            </w:pPr>
            <w:r>
              <w:rPr>
                <w:rFonts w:ascii="Arial" w:cs="Arial" w:eastAsia="Arial" w:hAnsi="Arial"/>
                <w:b w:val="false"/>
                <w:bCs w:val="false"/>
                <w:color w:val="1A1A2E"/>
                <w:sz w:val="20"/>
                <w:szCs w:val="20"/>
              </w:rPr>
              <w:t xml:space="preserve">New Moving to Work Cohort</w:t>
            </w:r>
          </w:p>
        </w:tc>
        <w:tc>
          <w:tcPr>
            <w:tcW w:type="dxa" w:w="5900"/>
            <w:tcBorders>
              <w:top w:val="single" w:color="DDE3EA" w:sz="4"/>
              <w:left w:val="single" w:color="DDE3EA" w:sz="4"/>
              <w:bottom w:val="single" w:color="DDE3EA" w:sz="4"/>
              <w:right w:val="single" w:color="DDE3EA" w:sz="4"/>
            </w:tcBorders>
            <w:tcMar>
              <w:top w:type="dxa" w:w="70"/>
              <w:left w:type="dxa" w:w="100"/>
              <w:bottom w:type="dxa" w:w="70"/>
              <w:right w:type="dxa" w:w="100"/>
            </w:tcMar>
            <w:vAlign w:val="top"/>
          </w:tcPr>
          <w:p>
            <w:pPr>
              <w:spacing w:after="0" w:line="264"/>
            </w:pPr>
            <w:r>
              <w:rPr>
                <w:rFonts w:ascii="Arial" w:cs="Arial" w:eastAsia="Arial" w:hAnsi="Arial"/>
                <w:b w:val="false"/>
                <w:bCs w:val="false"/>
                <w:color w:val="1A1A2E"/>
                <w:sz w:val="20"/>
                <w:szCs w:val="20"/>
              </w:rPr>
              <w:t xml:space="preserve">Authorizes HUD to add up to 25 high-performing public housing agencies to a new Moving to Work (MTW) cohort — the "Economic Opportunity and Pathways to Independence Cohort" — but only after HUD files a first comprehensive MTW report to Congress.</w:t>
            </w:r>
          </w:p>
        </w:tc>
      </w:tr>
      <w:tr>
        <w:trPr>
          <w:cantSplit/>
        </w:trPr>
        <w:tc>
          <w:tcPr>
            <w:tcW w:type="dxa" w:w="1150"/>
            <w:tcBorders>
              <w:top w:val="single" w:color="DDE3EA" w:sz="4"/>
              <w:left w:val="single" w:color="DDE3EA" w:sz="4"/>
              <w:bottom w:val="single" w:color="DDE3EA" w:sz="4"/>
              <w:right w:val="single" w:color="DDE3EA" w:sz="4"/>
            </w:tcBorders>
            <w:shd w:fill="EFF2F6" w:color="auto" w:val="clear"/>
            <w:tcMar>
              <w:top w:type="dxa" w:w="70"/>
              <w:left w:type="dxa" w:w="100"/>
              <w:bottom w:type="dxa" w:w="70"/>
              <w:right w:type="dxa" w:w="100"/>
            </w:tcMar>
            <w:vAlign w:val="top"/>
          </w:tcPr>
          <w:p>
            <w:pPr>
              <w:spacing w:after="0" w:line="264"/>
            </w:pPr>
            <w:r>
              <w:rPr>
                <w:rFonts w:ascii="Arial" w:cs="Arial" w:eastAsia="Arial" w:hAnsi="Arial"/>
                <w:b/>
                <w:bCs/>
                <w:color w:val="1A1A2E"/>
                <w:sz w:val="20"/>
                <w:szCs w:val="20"/>
              </w:rPr>
              <w:t xml:space="preserve">Sec. 502</w:t>
            </w:r>
          </w:p>
        </w:tc>
        <w:tc>
          <w:tcPr>
            <w:tcW w:type="dxa" w:w="3030"/>
            <w:tcBorders>
              <w:top w:val="single" w:color="DDE3EA" w:sz="4"/>
              <w:left w:val="single" w:color="DDE3EA" w:sz="4"/>
              <w:bottom w:val="single" w:color="DDE3EA" w:sz="4"/>
              <w:right w:val="single" w:color="DDE3EA" w:sz="4"/>
            </w:tcBorders>
            <w:shd w:fill="EFF2F6" w:color="auto" w:val="clear"/>
            <w:tcMar>
              <w:top w:type="dxa" w:w="70"/>
              <w:left w:type="dxa" w:w="100"/>
              <w:bottom w:type="dxa" w:w="70"/>
              <w:right w:type="dxa" w:w="100"/>
            </w:tcMar>
            <w:vAlign w:val="top"/>
          </w:tcPr>
          <w:p>
            <w:pPr>
              <w:spacing w:after="0" w:line="264"/>
            </w:pPr>
            <w:r>
              <w:rPr>
                <w:rFonts w:ascii="Arial" w:cs="Arial" w:eastAsia="Arial" w:hAnsi="Arial"/>
                <w:b w:val="false"/>
                <w:bCs w:val="false"/>
                <w:color w:val="1A1A2E"/>
                <w:sz w:val="20"/>
                <w:szCs w:val="20"/>
              </w:rPr>
              <w:t xml:space="preserve">Rural Housing Service Reform Act</w:t>
            </w:r>
          </w:p>
        </w:tc>
        <w:tc>
          <w:tcPr>
            <w:tcW w:type="dxa" w:w="5900"/>
            <w:tcBorders>
              <w:top w:val="single" w:color="DDE3EA" w:sz="4"/>
              <w:left w:val="single" w:color="DDE3EA" w:sz="4"/>
              <w:bottom w:val="single" w:color="DDE3EA" w:sz="4"/>
              <w:right w:val="single" w:color="DDE3EA" w:sz="4"/>
            </w:tcBorders>
            <w:shd w:fill="EFF2F6" w:color="auto" w:val="clear"/>
            <w:tcMar>
              <w:top w:type="dxa" w:w="70"/>
              <w:left w:type="dxa" w:w="100"/>
              <w:bottom w:type="dxa" w:w="70"/>
              <w:right w:type="dxa" w:w="100"/>
            </w:tcMar>
            <w:vAlign w:val="top"/>
          </w:tcPr>
          <w:p>
            <w:pPr>
              <w:spacing w:after="0" w:line="264"/>
            </w:pPr>
            <w:r>
              <w:rPr>
                <w:rFonts w:ascii="Arial" w:cs="Arial" w:eastAsia="Arial" w:hAnsi="Arial"/>
                <w:b w:val="false"/>
                <w:bCs w:val="false"/>
                <w:color w:val="1A1A2E"/>
                <w:sz w:val="20"/>
                <w:szCs w:val="20"/>
              </w:rPr>
              <w:t xml:space="preserve">A broad update of USDA Rural Housing Service programs.  Its centerpiece permanently establishes the Housing Preservation and Revitalization program (new Housing Act of 1949 §545) and lets USDA keep Section 521 rental assistance in place — for 20-year terms — even after a Section 514/515 loan matures or cannot be restructured ("decoupling").</w:t>
            </w:r>
          </w:p>
        </w:tc>
      </w:tr>
      <w:tr>
        <w:trPr>
          <w:cantSplit/>
        </w:trPr>
        <w:tc>
          <w:tcPr>
            <w:tcW w:type="dxa" w:w="1150"/>
            <w:tcBorders>
              <w:top w:val="single" w:color="DDE3EA" w:sz="4"/>
              <w:left w:val="single" w:color="DDE3EA" w:sz="4"/>
              <w:bottom w:val="single" w:color="DDE3EA" w:sz="4"/>
              <w:right w:val="single" w:color="DDE3EA" w:sz="4"/>
            </w:tcBorders>
            <w:tcMar>
              <w:top w:type="dxa" w:w="70"/>
              <w:left w:type="dxa" w:w="100"/>
              <w:bottom w:type="dxa" w:w="70"/>
              <w:right w:type="dxa" w:w="100"/>
            </w:tcMar>
            <w:vAlign w:val="top"/>
          </w:tcPr>
          <w:p>
            <w:pPr>
              <w:spacing w:after="0" w:line="264"/>
            </w:pPr>
            <w:r>
              <w:rPr>
                <w:rFonts w:ascii="Arial" w:cs="Arial" w:eastAsia="Arial" w:hAnsi="Arial"/>
                <w:b/>
                <w:bCs/>
                <w:color w:val="1A1A2E"/>
                <w:sz w:val="20"/>
                <w:szCs w:val="20"/>
              </w:rPr>
              <w:t xml:space="preserve">Sec. 404</w:t>
            </w:r>
          </w:p>
        </w:tc>
        <w:tc>
          <w:tcPr>
            <w:tcW w:type="dxa" w:w="3030"/>
            <w:tcBorders>
              <w:top w:val="single" w:color="DDE3EA" w:sz="4"/>
              <w:left w:val="single" w:color="DDE3EA" w:sz="4"/>
              <w:bottom w:val="single" w:color="DDE3EA" w:sz="4"/>
              <w:right w:val="single" w:color="DDE3EA" w:sz="4"/>
            </w:tcBorders>
            <w:tcMar>
              <w:top w:type="dxa" w:w="70"/>
              <w:left w:type="dxa" w:w="100"/>
              <w:bottom w:type="dxa" w:w="70"/>
              <w:right w:type="dxa" w:w="100"/>
            </w:tcMar>
            <w:vAlign w:val="top"/>
          </w:tcPr>
          <w:p>
            <w:pPr>
              <w:spacing w:after="0" w:line="264"/>
            </w:pPr>
            <w:r>
              <w:rPr>
                <w:rFonts w:ascii="Arial" w:cs="Arial" w:eastAsia="Arial" w:hAnsi="Arial"/>
                <w:b w:val="false"/>
                <w:bCs w:val="false"/>
                <w:color w:val="1A1A2E"/>
                <w:sz w:val="20"/>
                <w:szCs w:val="20"/>
              </w:rPr>
              <w:t xml:space="preserve">Helping More Families Save Act</w:t>
            </w:r>
          </w:p>
        </w:tc>
        <w:tc>
          <w:tcPr>
            <w:tcW w:type="dxa" w:w="5900"/>
            <w:tcBorders>
              <w:top w:val="single" w:color="DDE3EA" w:sz="4"/>
              <w:left w:val="single" w:color="DDE3EA" w:sz="4"/>
              <w:bottom w:val="single" w:color="DDE3EA" w:sz="4"/>
              <w:right w:val="single" w:color="DDE3EA" w:sz="4"/>
            </w:tcBorders>
            <w:tcMar>
              <w:top w:type="dxa" w:w="70"/>
              <w:left w:type="dxa" w:w="100"/>
              <w:bottom w:type="dxa" w:w="70"/>
              <w:right w:type="dxa" w:w="100"/>
            </w:tcMar>
            <w:vAlign w:val="top"/>
          </w:tcPr>
          <w:p>
            <w:pPr>
              <w:spacing w:after="0" w:line="264"/>
            </w:pPr>
            <w:r>
              <w:rPr>
                <w:rFonts w:ascii="Arial" w:cs="Arial" w:eastAsia="Arial" w:hAnsi="Arial"/>
                <w:b w:val="false"/>
                <w:bCs w:val="false"/>
                <w:color w:val="1A1A2E"/>
                <w:sz w:val="20"/>
                <w:szCs w:val="20"/>
              </w:rPr>
              <w:t xml:space="preserve">Adds an "Escrow Expansion Pilot Program" to the Family Self-Sufficiency statute.</w:t>
            </w:r>
          </w:p>
        </w:tc>
      </w:tr>
      <w:tr>
        <w:trPr>
          <w:cantSplit/>
        </w:trPr>
        <w:tc>
          <w:tcPr>
            <w:tcW w:type="dxa" w:w="1150"/>
            <w:tcBorders>
              <w:top w:val="single" w:color="DDE3EA" w:sz="4"/>
              <w:left w:val="single" w:color="DDE3EA" w:sz="4"/>
              <w:bottom w:val="single" w:color="DDE3EA" w:sz="4"/>
              <w:right w:val="single" w:color="DDE3EA" w:sz="4"/>
            </w:tcBorders>
            <w:shd w:fill="EFF2F6" w:color="auto" w:val="clear"/>
            <w:tcMar>
              <w:top w:type="dxa" w:w="70"/>
              <w:left w:type="dxa" w:w="100"/>
              <w:bottom w:type="dxa" w:w="70"/>
              <w:right w:type="dxa" w:w="100"/>
            </w:tcMar>
            <w:vAlign w:val="top"/>
          </w:tcPr>
          <w:p>
            <w:pPr>
              <w:spacing w:after="0" w:line="264"/>
            </w:pPr>
            <w:r>
              <w:rPr>
                <w:rFonts w:ascii="Arial" w:cs="Arial" w:eastAsia="Arial" w:hAnsi="Arial"/>
                <w:b/>
                <w:bCs/>
                <w:color w:val="1A1A2E"/>
                <w:sz w:val="20"/>
                <w:szCs w:val="20"/>
              </w:rPr>
              <w:t xml:space="preserve">Sec. 701</w:t>
            </w:r>
          </w:p>
        </w:tc>
        <w:tc>
          <w:tcPr>
            <w:tcW w:type="dxa" w:w="3030"/>
            <w:tcBorders>
              <w:top w:val="single" w:color="DDE3EA" w:sz="4"/>
              <w:left w:val="single" w:color="DDE3EA" w:sz="4"/>
              <w:bottom w:val="single" w:color="DDE3EA" w:sz="4"/>
              <w:right w:val="single" w:color="DDE3EA" w:sz="4"/>
            </w:tcBorders>
            <w:shd w:fill="EFF2F6" w:color="auto" w:val="clear"/>
            <w:tcMar>
              <w:top w:type="dxa" w:w="70"/>
              <w:left w:type="dxa" w:w="100"/>
              <w:bottom w:type="dxa" w:w="70"/>
              <w:right w:type="dxa" w:w="100"/>
            </w:tcMar>
            <w:vAlign w:val="top"/>
          </w:tcPr>
          <w:p>
            <w:pPr>
              <w:spacing w:after="0" w:line="264"/>
            </w:pPr>
            <w:r>
              <w:rPr>
                <w:rFonts w:ascii="Arial" w:cs="Arial" w:eastAsia="Arial" w:hAnsi="Arial"/>
                <w:b w:val="false"/>
                <w:bCs w:val="false"/>
                <w:color w:val="1A1A2E"/>
                <w:sz w:val="20"/>
                <w:szCs w:val="20"/>
              </w:rPr>
              <w:t xml:space="preserve">Requiring Annual Testimony and Oversight From Housing Regulators</w:t>
            </w:r>
          </w:p>
        </w:tc>
        <w:tc>
          <w:tcPr>
            <w:tcW w:type="dxa" w:w="5900"/>
            <w:tcBorders>
              <w:top w:val="single" w:color="DDE3EA" w:sz="4"/>
              <w:left w:val="single" w:color="DDE3EA" w:sz="4"/>
              <w:bottom w:val="single" w:color="DDE3EA" w:sz="4"/>
              <w:right w:val="single" w:color="DDE3EA" w:sz="4"/>
            </w:tcBorders>
            <w:shd w:fill="EFF2F6" w:color="auto" w:val="clear"/>
            <w:tcMar>
              <w:top w:type="dxa" w:w="70"/>
              <w:left w:type="dxa" w:w="100"/>
              <w:bottom w:type="dxa" w:w="70"/>
              <w:right w:type="dxa" w:w="100"/>
            </w:tcMar>
            <w:vAlign w:val="top"/>
          </w:tcPr>
          <w:p>
            <w:pPr>
              <w:spacing w:after="0" w:line="264"/>
            </w:pPr>
            <w:r>
              <w:rPr>
                <w:rFonts w:ascii="Arial" w:cs="Arial" w:eastAsia="Arial" w:hAnsi="Arial"/>
                <w:b w:val="false"/>
                <w:bCs w:val="false"/>
                <w:color w:val="1A1A2E"/>
                <w:sz w:val="20"/>
                <w:szCs w:val="20"/>
              </w:rPr>
              <w:t xml:space="preserve">Puts the HUD Secretary in front of Congress every year.  New HUD Act §7(u) requires the Secretary to testify annually before Senate Banking and House Financial Services on the Department’s operations, the physical condition of public and assisted housing, the health of FHA’s insurance funds, grantee oversight, progress on the affordable housing and homele…</w:t>
            </w:r>
          </w:p>
        </w:tc>
      </w:tr>
      <w:tr>
        <w:trPr>
          <w:cantSplit/>
        </w:trPr>
        <w:tc>
          <w:tcPr>
            <w:tcW w:type="dxa" w:w="1150"/>
            <w:tcBorders>
              <w:top w:val="single" w:color="DDE3EA" w:sz="4"/>
              <w:left w:val="single" w:color="DDE3EA" w:sz="4"/>
              <w:bottom w:val="single" w:color="DDE3EA" w:sz="4"/>
              <w:right w:val="single" w:color="DDE3EA" w:sz="4"/>
            </w:tcBorders>
            <w:tcMar>
              <w:top w:type="dxa" w:w="70"/>
              <w:left w:type="dxa" w:w="100"/>
              <w:bottom w:type="dxa" w:w="70"/>
              <w:right w:type="dxa" w:w="100"/>
            </w:tcMar>
            <w:vAlign w:val="top"/>
          </w:tcPr>
          <w:p>
            <w:pPr>
              <w:spacing w:after="0" w:line="264"/>
            </w:pPr>
            <w:r>
              <w:rPr>
                <w:rFonts w:ascii="Arial" w:cs="Arial" w:eastAsia="Arial" w:hAnsi="Arial"/>
                <w:b/>
                <w:bCs/>
                <w:color w:val="1A1A2E"/>
                <w:sz w:val="20"/>
                <w:szCs w:val="20"/>
              </w:rPr>
              <w:t xml:space="preserve">Sec. 106</w:t>
            </w:r>
          </w:p>
        </w:tc>
        <w:tc>
          <w:tcPr>
            <w:tcW w:type="dxa" w:w="3030"/>
            <w:tcBorders>
              <w:top w:val="single" w:color="DDE3EA" w:sz="4"/>
              <w:left w:val="single" w:color="DDE3EA" w:sz="4"/>
              <w:bottom w:val="single" w:color="DDE3EA" w:sz="4"/>
              <w:right w:val="single" w:color="DDE3EA" w:sz="4"/>
            </w:tcBorders>
            <w:tcMar>
              <w:top w:type="dxa" w:w="70"/>
              <w:left w:type="dxa" w:w="100"/>
              <w:bottom w:type="dxa" w:w="70"/>
              <w:right w:type="dxa" w:w="100"/>
            </w:tcMar>
            <w:vAlign w:val="top"/>
          </w:tcPr>
          <w:p>
            <w:pPr>
              <w:spacing w:after="0" w:line="264"/>
            </w:pPr>
            <w:r>
              <w:rPr>
                <w:rFonts w:ascii="Arial" w:cs="Arial" w:eastAsia="Arial" w:hAnsi="Arial"/>
                <w:b w:val="false"/>
                <w:bCs w:val="false"/>
                <w:color w:val="1A1A2E"/>
                <w:sz w:val="20"/>
                <w:szCs w:val="20"/>
              </w:rPr>
              <w:t xml:space="preserve">Temperature Sensor Pilot Program</w:t>
            </w:r>
          </w:p>
        </w:tc>
        <w:tc>
          <w:tcPr>
            <w:tcW w:type="dxa" w:w="5900"/>
            <w:tcBorders>
              <w:top w:val="single" w:color="DDE3EA" w:sz="4"/>
              <w:left w:val="single" w:color="DDE3EA" w:sz="4"/>
              <w:bottom w:val="single" w:color="DDE3EA" w:sz="4"/>
              <w:right w:val="single" w:color="DDE3EA" w:sz="4"/>
            </w:tcBorders>
            <w:tcMar>
              <w:top w:type="dxa" w:w="70"/>
              <w:left w:type="dxa" w:w="100"/>
              <w:bottom w:type="dxa" w:w="70"/>
              <w:right w:type="dxa" w:w="100"/>
            </w:tcMar>
            <w:vAlign w:val="top"/>
          </w:tcPr>
          <w:p>
            <w:pPr>
              <w:spacing w:after="0" w:line="264"/>
            </w:pPr>
            <w:r>
              <w:rPr>
                <w:rFonts w:ascii="Arial" w:cs="Arial" w:eastAsia="Arial" w:hAnsi="Arial"/>
                <w:b w:val="false"/>
                <w:bCs w:val="false"/>
                <w:color w:val="1A1A2E"/>
                <w:sz w:val="20"/>
                <w:szCs w:val="20"/>
              </w:rPr>
              <w:t xml:space="preserve">Creates a HUD grant pilot for PHAs and owners of public housing, project-based Section 8, Section 202, and Section 811 units to buy, install, and test HUD-approved internet-connected temperature sensors — only with each resident’s written permission — to check that units stay within temperature requirements.</w:t>
            </w:r>
          </w:p>
        </w:tc>
      </w:tr>
      <w:tr>
        <w:trPr>
          <w:cantSplit/>
        </w:trPr>
        <w:tc>
          <w:tcPr>
            <w:tcW w:type="dxa" w:w="1150"/>
            <w:tcBorders>
              <w:top w:val="single" w:color="DDE3EA" w:sz="4"/>
              <w:left w:val="single" w:color="DDE3EA" w:sz="4"/>
              <w:bottom w:val="single" w:color="DDE3EA" w:sz="4"/>
              <w:right w:val="single" w:color="DDE3EA" w:sz="4"/>
            </w:tcBorders>
            <w:shd w:fill="EFF2F6" w:color="auto" w:val="clear"/>
            <w:tcMar>
              <w:top w:type="dxa" w:w="70"/>
              <w:left w:type="dxa" w:w="100"/>
              <w:bottom w:type="dxa" w:w="70"/>
              <w:right w:type="dxa" w:w="100"/>
            </w:tcMar>
            <w:vAlign w:val="top"/>
          </w:tcPr>
          <w:p>
            <w:pPr>
              <w:spacing w:after="0" w:line="264"/>
            </w:pPr>
            <w:r>
              <w:rPr>
                <w:rFonts w:ascii="Arial" w:cs="Arial" w:eastAsia="Arial" w:hAnsi="Arial"/>
                <w:b/>
                <w:bCs/>
                <w:color w:val="1A1A2E"/>
                <w:sz w:val="20"/>
                <w:szCs w:val="20"/>
              </w:rPr>
              <w:t xml:space="preserve">Sec. 804</w:t>
            </w:r>
          </w:p>
        </w:tc>
        <w:tc>
          <w:tcPr>
            <w:tcW w:type="dxa" w:w="3030"/>
            <w:tcBorders>
              <w:top w:val="single" w:color="DDE3EA" w:sz="4"/>
              <w:left w:val="single" w:color="DDE3EA" w:sz="4"/>
              <w:bottom w:val="single" w:color="DDE3EA" w:sz="4"/>
              <w:right w:val="single" w:color="DDE3EA" w:sz="4"/>
            </w:tcBorders>
            <w:shd w:fill="EFF2F6" w:color="auto" w:val="clear"/>
            <w:tcMar>
              <w:top w:type="dxa" w:w="70"/>
              <w:left w:type="dxa" w:w="100"/>
              <w:bottom w:type="dxa" w:w="70"/>
              <w:right w:type="dxa" w:w="100"/>
            </w:tcMar>
            <w:vAlign w:val="top"/>
          </w:tcPr>
          <w:p>
            <w:pPr>
              <w:spacing w:after="0" w:line="264"/>
            </w:pPr>
            <w:r>
              <w:rPr>
                <w:rFonts w:ascii="Arial" w:cs="Arial" w:eastAsia="Arial" w:hAnsi="Arial"/>
                <w:b w:val="false"/>
                <w:bCs w:val="false"/>
                <w:color w:val="1A1A2E"/>
                <w:sz w:val="20"/>
                <w:szCs w:val="20"/>
              </w:rPr>
              <w:t xml:space="preserve">GAO Studies</w:t>
            </w:r>
          </w:p>
        </w:tc>
        <w:tc>
          <w:tcPr>
            <w:tcW w:type="dxa" w:w="5900"/>
            <w:tcBorders>
              <w:top w:val="single" w:color="DDE3EA" w:sz="4"/>
              <w:left w:val="single" w:color="DDE3EA" w:sz="4"/>
              <w:bottom w:val="single" w:color="DDE3EA" w:sz="4"/>
              <w:right w:val="single" w:color="DDE3EA" w:sz="4"/>
            </w:tcBorders>
            <w:shd w:fill="EFF2F6" w:color="auto" w:val="clear"/>
            <w:tcMar>
              <w:top w:type="dxa" w:w="70"/>
              <w:left w:type="dxa" w:w="100"/>
              <w:bottom w:type="dxa" w:w="70"/>
              <w:right w:type="dxa" w:w="100"/>
            </w:tcMar>
            <w:vAlign w:val="top"/>
          </w:tcPr>
          <w:p>
            <w:pPr>
              <w:spacing w:after="0" w:line="264"/>
            </w:pPr>
            <w:r>
              <w:rPr>
                <w:rFonts w:ascii="Arial" w:cs="Arial" w:eastAsia="Arial" w:hAnsi="Arial"/>
                <w:b w:val="false"/>
                <w:bCs w:val="false"/>
                <w:color w:val="1A1A2E"/>
                <w:sz w:val="20"/>
                <w:szCs w:val="20"/>
              </w:rPr>
              <w:t xml:space="preserve">Four Government Accountability Office studies, each due within 1 year: (a) barriers facing "middle-income households" (above 80 up to 120 percent of area median income) and a proposed federal definition of "workforce housing"; (b) options to improve Section 202 elderly and Section 811 disability housing, including c…</w:t>
            </w:r>
          </w:p>
        </w:tc>
      </w:tr>
    </w:tbl>
    <w:p>
      <w:pPr>
        <w:pStyle w:val="Heading1"/>
        <w:keepNext/>
        <w:spacing w:after="100" w:before="280" w:line="276"/>
      </w:pPr>
      <w:r>
        <w:rPr>
          <w:rFonts w:ascii="Arial" w:cs="Arial" w:eastAsia="Arial" w:hAnsi="Arial"/>
          <w:b/>
          <w:bCs/>
          <w:color w:val="154360"/>
          <w:sz w:val="26"/>
          <w:szCs w:val="26"/>
        </w:rPr>
        <w:t xml:space="preserve">4. Deadlines to calendar</w:t>
      </w:r>
    </w:p>
    <w:p>
      <w:pPr>
        <w:spacing w:after="120" w:line="336"/>
      </w:pPr>
      <w:r>
        <w:rPr>
          <w:rFonts w:ascii="Arial" w:cs="Arial" w:eastAsia="Arial" w:hAnsi="Arial"/>
          <w:color w:val="1A1A2E"/>
          <w:sz w:val="22"/>
          <w:szCs w:val="22"/>
        </w:rPr>
        <w:t xml:space="preserve">Statutory dates derived from the July 11, 2026 enactment. Dates the hub already tracks as met are not listed. “Who” is the agency the statute names; add your internal owner in the margin.</w:t>
      </w:r>
    </w:p>
    <w:tbl>
      <w:tblPr>
        <w:tblW w:type="dxa" w:w="10080"/>
        <w:tblBorders>
          <w:top w:val="single" w:color="auto" w:sz="4"/>
          <w:left w:val="single" w:color="auto" w:sz="4"/>
          <w:bottom w:val="single" w:color="auto" w:sz="4"/>
          <w:right w:val="single" w:color="auto" w:sz="4"/>
          <w:insideH w:val="single" w:color="auto" w:sz="4"/>
          <w:insideV w:val="single" w:color="auto" w:sz="4"/>
        </w:tblBorders>
      </w:tblPr>
      <w:tblGrid>
        <w:gridCol w:w="1400"/>
        <w:gridCol w:w="7280"/>
        <w:gridCol w:w="1400"/>
      </w:tblGrid>
      <w:tr>
        <w:trPr>
          <w:cantSplit/>
          <w:tblHeader/>
        </w:trPr>
        <w:tc>
          <w:tcPr>
            <w:tcW w:type="dxa" w:w="1400"/>
            <w:tcBorders>
              <w:top w:val="single" w:color="DDE3EA" w:sz="4"/>
              <w:left w:val="single" w:color="DDE3EA" w:sz="4"/>
              <w:bottom w:val="single" w:color="DDE3EA" w:sz="4"/>
              <w:right w:val="single" w:color="DDE3EA" w:sz="4"/>
            </w:tcBorders>
            <w:shd w:fill="154360" w:color="auto" w:val="clear"/>
            <w:tcMar>
              <w:top w:type="dxa" w:w="70"/>
              <w:left w:type="dxa" w:w="100"/>
              <w:bottom w:type="dxa" w:w="70"/>
              <w:right w:type="dxa" w:w="100"/>
            </w:tcMar>
            <w:vAlign w:val="top"/>
          </w:tcPr>
          <w:p>
            <w:pPr>
              <w:spacing w:after="0" w:line="264"/>
            </w:pPr>
            <w:r>
              <w:rPr>
                <w:rFonts w:ascii="Arial" w:cs="Arial" w:eastAsia="Arial" w:hAnsi="Arial"/>
                <w:b/>
                <w:bCs/>
                <w:color w:val="FFFFFF"/>
                <w:sz w:val="20"/>
                <w:szCs w:val="20"/>
              </w:rPr>
              <w:t xml:space="preserve">Date</w:t>
            </w:r>
          </w:p>
        </w:tc>
        <w:tc>
          <w:tcPr>
            <w:tcW w:type="dxa" w:w="7280"/>
            <w:tcBorders>
              <w:top w:val="single" w:color="DDE3EA" w:sz="4"/>
              <w:left w:val="single" w:color="DDE3EA" w:sz="4"/>
              <w:bottom w:val="single" w:color="DDE3EA" w:sz="4"/>
              <w:right w:val="single" w:color="DDE3EA" w:sz="4"/>
            </w:tcBorders>
            <w:shd w:fill="154360" w:color="auto" w:val="clear"/>
            <w:tcMar>
              <w:top w:type="dxa" w:w="70"/>
              <w:left w:type="dxa" w:w="100"/>
              <w:bottom w:type="dxa" w:w="70"/>
              <w:right w:type="dxa" w:w="100"/>
            </w:tcMar>
            <w:vAlign w:val="top"/>
          </w:tcPr>
          <w:p>
            <w:pPr>
              <w:spacing w:after="0" w:line="264"/>
            </w:pPr>
            <w:r>
              <w:rPr>
                <w:rFonts w:ascii="Arial" w:cs="Arial" w:eastAsia="Arial" w:hAnsi="Arial"/>
                <w:b/>
                <w:bCs/>
                <w:color w:val="FFFFFF"/>
                <w:sz w:val="20"/>
                <w:szCs w:val="20"/>
              </w:rPr>
              <w:t xml:space="preserve">Action</w:t>
            </w:r>
          </w:p>
        </w:tc>
        <w:tc>
          <w:tcPr>
            <w:tcW w:type="dxa" w:w="1400"/>
            <w:tcBorders>
              <w:top w:val="single" w:color="DDE3EA" w:sz="4"/>
              <w:left w:val="single" w:color="DDE3EA" w:sz="4"/>
              <w:bottom w:val="single" w:color="DDE3EA" w:sz="4"/>
              <w:right w:val="single" w:color="DDE3EA" w:sz="4"/>
            </w:tcBorders>
            <w:shd w:fill="154360" w:color="auto" w:val="clear"/>
            <w:tcMar>
              <w:top w:type="dxa" w:w="70"/>
              <w:left w:type="dxa" w:w="100"/>
              <w:bottom w:type="dxa" w:w="70"/>
              <w:right w:type="dxa" w:w="100"/>
            </w:tcMar>
            <w:vAlign w:val="top"/>
          </w:tcPr>
          <w:p>
            <w:pPr>
              <w:spacing w:after="0" w:line="264"/>
            </w:pPr>
            <w:r>
              <w:rPr>
                <w:rFonts w:ascii="Arial" w:cs="Arial" w:eastAsia="Arial" w:hAnsi="Arial"/>
                <w:b/>
                <w:bCs/>
                <w:color w:val="FFFFFF"/>
                <w:sz w:val="20"/>
                <w:szCs w:val="20"/>
              </w:rPr>
              <w:t xml:space="preserve">Who</w:t>
            </w:r>
          </w:p>
        </w:tc>
      </w:tr>
      <w:tr>
        <w:trPr>
          <w:cantSplit/>
        </w:trPr>
        <w:tc>
          <w:tcPr>
            <w:tcW w:type="dxa" w:w="1400"/>
            <w:tcBorders>
              <w:top w:val="single" w:color="DDE3EA" w:sz="4"/>
              <w:left w:val="single" w:color="DDE3EA" w:sz="4"/>
              <w:bottom w:val="single" w:color="DDE3EA" w:sz="4"/>
              <w:right w:val="single" w:color="DDE3EA" w:sz="4"/>
            </w:tcBorders>
            <w:tcMar>
              <w:top w:type="dxa" w:w="70"/>
              <w:left w:type="dxa" w:w="100"/>
              <w:bottom w:type="dxa" w:w="70"/>
              <w:right w:type="dxa" w:w="100"/>
            </w:tcMar>
            <w:vAlign w:val="top"/>
          </w:tcPr>
          <w:p>
            <w:pPr>
              <w:spacing w:after="0" w:line="264"/>
            </w:pPr>
            <w:r>
              <w:rPr>
                <w:rFonts w:ascii="Arial" w:cs="Arial" w:eastAsia="Arial" w:hAnsi="Arial"/>
                <w:b/>
                <w:bCs/>
                <w:color w:val="1A1A2E"/>
                <w:sz w:val="20"/>
                <w:szCs w:val="20"/>
              </w:rPr>
              <w:t xml:space="preserve">Jan 7, 2027</w:t>
            </w:r>
          </w:p>
        </w:tc>
        <w:tc>
          <w:tcPr>
            <w:tcW w:type="dxa" w:w="7280"/>
            <w:tcBorders>
              <w:top w:val="single" w:color="DDE3EA" w:sz="4"/>
              <w:left w:val="single" w:color="DDE3EA" w:sz="4"/>
              <w:bottom w:val="single" w:color="DDE3EA" w:sz="4"/>
              <w:right w:val="single" w:color="DDE3EA" w:sz="4"/>
            </w:tcBorders>
            <w:tcMar>
              <w:top w:type="dxa" w:w="70"/>
              <w:left w:type="dxa" w:w="100"/>
              <w:bottom w:type="dxa" w:w="70"/>
              <w:right w:type="dxa" w:w="100"/>
            </w:tcMar>
            <w:vAlign w:val="top"/>
          </w:tcPr>
          <w:p>
            <w:pPr>
              <w:spacing w:after="0" w:line="264"/>
            </w:pPr>
            <w:r>
              <w:rPr>
                <w:rFonts w:ascii="Arial" w:cs="Arial" w:eastAsia="Arial" w:hAnsi="Arial"/>
                <w:b w:val="false"/>
                <w:bCs w:val="false"/>
                <w:color w:val="1A1A2E"/>
                <w:sz w:val="20"/>
                <w:szCs w:val="20"/>
              </w:rPr>
              <w:t xml:space="preserve">HUD, USDA, and VA jointly report to Congress on opportunities to collaborate and reduce inefficiencies across their housing programs, including laws and regulations that get in the way (HUD-USDA-VA Interagency Coordination Act). (Sec. 801)</w:t>
            </w:r>
          </w:p>
        </w:tc>
        <w:tc>
          <w:tcPr>
            <w:tcW w:type="dxa" w:w="1400"/>
            <w:tcBorders>
              <w:top w:val="single" w:color="DDE3EA" w:sz="4"/>
              <w:left w:val="single" w:color="DDE3EA" w:sz="4"/>
              <w:bottom w:val="single" w:color="DDE3EA" w:sz="4"/>
              <w:right w:val="single" w:color="DDE3EA" w:sz="4"/>
            </w:tcBorders>
            <w:tcMar>
              <w:top w:type="dxa" w:w="70"/>
              <w:left w:type="dxa" w:w="100"/>
              <w:bottom w:type="dxa" w:w="70"/>
              <w:right w:type="dxa" w:w="100"/>
            </w:tcMar>
            <w:vAlign w:val="top"/>
          </w:tcPr>
          <w:p>
            <w:pPr>
              <w:spacing w:after="0" w:line="264"/>
            </w:pPr>
            <w:r>
              <w:rPr>
                <w:rFonts w:ascii="Arial" w:cs="Arial" w:eastAsia="Arial" w:hAnsi="Arial"/>
                <w:b w:val="false"/>
                <w:bCs w:val="false"/>
                <w:color w:val="1A1A2E"/>
                <w:sz w:val="20"/>
                <w:szCs w:val="20"/>
              </w:rPr>
              <w:t xml:space="preserve">HUD</w:t>
            </w:r>
          </w:p>
        </w:tc>
      </w:tr>
      <w:tr>
        <w:trPr>
          <w:cantSplit/>
        </w:trPr>
        <w:tc>
          <w:tcPr>
            <w:tcW w:type="dxa" w:w="1400"/>
            <w:tcBorders>
              <w:top w:val="single" w:color="DDE3EA" w:sz="4"/>
              <w:left w:val="single" w:color="DDE3EA" w:sz="4"/>
              <w:bottom w:val="single" w:color="DDE3EA" w:sz="4"/>
              <w:right w:val="single" w:color="DDE3EA" w:sz="4"/>
            </w:tcBorders>
            <w:shd w:fill="EFF2F6" w:color="auto" w:val="clear"/>
            <w:tcMar>
              <w:top w:type="dxa" w:w="70"/>
              <w:left w:type="dxa" w:w="100"/>
              <w:bottom w:type="dxa" w:w="70"/>
              <w:right w:type="dxa" w:w="100"/>
            </w:tcMar>
            <w:vAlign w:val="top"/>
          </w:tcPr>
          <w:p>
            <w:pPr>
              <w:spacing w:after="0" w:line="264"/>
            </w:pPr>
            <w:r>
              <w:rPr>
                <w:rFonts w:ascii="Arial" w:cs="Arial" w:eastAsia="Arial" w:hAnsi="Arial"/>
                <w:b/>
                <w:bCs/>
                <w:color w:val="1A1A2E"/>
                <w:sz w:val="20"/>
                <w:szCs w:val="20"/>
              </w:rPr>
              <w:t xml:space="preserve">Jan 11, 2027</w:t>
            </w:r>
          </w:p>
        </w:tc>
        <w:tc>
          <w:tcPr>
            <w:tcW w:type="dxa" w:w="7280"/>
            <w:tcBorders>
              <w:top w:val="single" w:color="DDE3EA" w:sz="4"/>
              <w:left w:val="single" w:color="DDE3EA" w:sz="4"/>
              <w:bottom w:val="single" w:color="DDE3EA" w:sz="4"/>
              <w:right w:val="single" w:color="DDE3EA" w:sz="4"/>
            </w:tcBorders>
            <w:shd w:fill="EFF2F6" w:color="auto" w:val="clear"/>
            <w:tcMar>
              <w:top w:type="dxa" w:w="70"/>
              <w:left w:type="dxa" w:w="100"/>
              <w:bottom w:type="dxa" w:w="70"/>
              <w:right w:type="dxa" w:w="100"/>
            </w:tcMar>
            <w:vAlign w:val="top"/>
          </w:tcPr>
          <w:p>
            <w:pPr>
              <w:spacing w:after="0" w:line="264"/>
            </w:pPr>
            <w:r>
              <w:rPr>
                <w:rFonts w:ascii="Arial" w:cs="Arial" w:eastAsia="Arial" w:hAnsi="Arial"/>
                <w:b w:val="false"/>
                <w:bCs w:val="false"/>
                <w:color w:val="1A1A2E"/>
                <w:sz w:val="20"/>
                <w:szCs w:val="20"/>
              </w:rPr>
              <w:t xml:space="preserve">By regulation or order, require Fannie Mae and Freddie Mac to add a disclosure under the military service question on the Uniform Residential Loan Application: "If yes, you may qualify for a VA Home Loan. (Sec. 601)</w:t>
            </w:r>
          </w:p>
        </w:tc>
        <w:tc>
          <w:tcPr>
            <w:tcW w:type="dxa" w:w="1400"/>
            <w:tcBorders>
              <w:top w:val="single" w:color="DDE3EA" w:sz="4"/>
              <w:left w:val="single" w:color="DDE3EA" w:sz="4"/>
              <w:bottom w:val="single" w:color="DDE3EA" w:sz="4"/>
              <w:right w:val="single" w:color="DDE3EA" w:sz="4"/>
            </w:tcBorders>
            <w:shd w:fill="EFF2F6" w:color="auto" w:val="clear"/>
            <w:tcMar>
              <w:top w:type="dxa" w:w="70"/>
              <w:left w:type="dxa" w:w="100"/>
              <w:bottom w:type="dxa" w:w="70"/>
              <w:right w:type="dxa" w:w="100"/>
            </w:tcMar>
            <w:vAlign w:val="top"/>
          </w:tcPr>
          <w:p>
            <w:pPr>
              <w:spacing w:after="0" w:line="264"/>
            </w:pPr>
            <w:r>
              <w:rPr>
                <w:rFonts w:ascii="Arial" w:cs="Arial" w:eastAsia="Arial" w:hAnsi="Arial"/>
                <w:b w:val="false"/>
                <w:bCs w:val="false"/>
                <w:color w:val="1A1A2E"/>
                <w:sz w:val="20"/>
                <w:szCs w:val="20"/>
              </w:rPr>
              <w:t xml:space="preserve">FHFA</w:t>
            </w:r>
          </w:p>
        </w:tc>
      </w:tr>
      <w:tr>
        <w:trPr>
          <w:cantSplit/>
        </w:trPr>
        <w:tc>
          <w:tcPr>
            <w:tcW w:type="dxa" w:w="1400"/>
            <w:tcBorders>
              <w:top w:val="single" w:color="DDE3EA" w:sz="4"/>
              <w:left w:val="single" w:color="DDE3EA" w:sz="4"/>
              <w:bottom w:val="single" w:color="DDE3EA" w:sz="4"/>
              <w:right w:val="single" w:color="DDE3EA" w:sz="4"/>
            </w:tcBorders>
            <w:tcMar>
              <w:top w:type="dxa" w:w="70"/>
              <w:left w:type="dxa" w:w="100"/>
              <w:bottom w:type="dxa" w:w="70"/>
              <w:right w:type="dxa" w:w="100"/>
            </w:tcMar>
            <w:vAlign w:val="top"/>
          </w:tcPr>
          <w:p>
            <w:pPr>
              <w:spacing w:after="0" w:line="264"/>
            </w:pPr>
            <w:r>
              <w:rPr>
                <w:rFonts w:ascii="Arial" w:cs="Arial" w:eastAsia="Arial" w:hAnsi="Arial"/>
                <w:b/>
                <w:bCs/>
                <w:color w:val="1A1A2E"/>
                <w:sz w:val="20"/>
                <w:szCs w:val="20"/>
              </w:rPr>
              <w:t xml:space="preserve">Jan 11, 2027</w:t>
            </w:r>
          </w:p>
        </w:tc>
        <w:tc>
          <w:tcPr>
            <w:tcW w:type="dxa" w:w="7280"/>
            <w:tcBorders>
              <w:top w:val="single" w:color="DDE3EA" w:sz="4"/>
              <w:left w:val="single" w:color="DDE3EA" w:sz="4"/>
              <w:bottom w:val="single" w:color="DDE3EA" w:sz="4"/>
              <w:right w:val="single" w:color="DDE3EA" w:sz="4"/>
            </w:tcBorders>
            <w:tcMar>
              <w:top w:type="dxa" w:w="70"/>
              <w:left w:type="dxa" w:w="100"/>
              <w:bottom w:type="dxa" w:w="70"/>
              <w:right w:type="dxa" w:w="100"/>
            </w:tcMar>
            <w:vAlign w:val="top"/>
          </w:tcPr>
          <w:p>
            <w:pPr>
              <w:spacing w:after="0" w:line="264"/>
            </w:pPr>
            <w:r>
              <w:rPr>
                <w:rFonts w:ascii="Arial" w:cs="Arial" w:eastAsia="Arial" w:hAnsi="Arial"/>
                <w:b w:val="false"/>
                <w:bCs w:val="false"/>
                <w:color w:val="1A1A2E"/>
                <w:sz w:val="20"/>
                <w:szCs w:val="20"/>
              </w:rPr>
              <w:t xml:space="preserve">Require the Enterprises to place a military service question ("Yes," "No," "Prefer Not To Answer") above the signature line of the URLA, and issue a rule to carry out the amendment (VALID Act). (Sec. 603)</w:t>
            </w:r>
          </w:p>
        </w:tc>
        <w:tc>
          <w:tcPr>
            <w:tcW w:type="dxa" w:w="1400"/>
            <w:tcBorders>
              <w:top w:val="single" w:color="DDE3EA" w:sz="4"/>
              <w:left w:val="single" w:color="DDE3EA" w:sz="4"/>
              <w:bottom w:val="single" w:color="DDE3EA" w:sz="4"/>
              <w:right w:val="single" w:color="DDE3EA" w:sz="4"/>
            </w:tcBorders>
            <w:tcMar>
              <w:top w:type="dxa" w:w="70"/>
              <w:left w:type="dxa" w:w="100"/>
              <w:bottom w:type="dxa" w:w="70"/>
              <w:right w:type="dxa" w:w="100"/>
            </w:tcMar>
            <w:vAlign w:val="top"/>
          </w:tcPr>
          <w:p>
            <w:pPr>
              <w:spacing w:after="0" w:line="264"/>
            </w:pPr>
            <w:r>
              <w:rPr>
                <w:rFonts w:ascii="Arial" w:cs="Arial" w:eastAsia="Arial" w:hAnsi="Arial"/>
                <w:b w:val="false"/>
                <w:bCs w:val="false"/>
                <w:color w:val="1A1A2E"/>
                <w:sz w:val="20"/>
                <w:szCs w:val="20"/>
              </w:rPr>
              <w:t xml:space="preserve">FHFA</w:t>
            </w:r>
          </w:p>
        </w:tc>
      </w:tr>
      <w:tr>
        <w:trPr>
          <w:cantSplit/>
        </w:trPr>
        <w:tc>
          <w:tcPr>
            <w:tcW w:type="dxa" w:w="1400"/>
            <w:tcBorders>
              <w:top w:val="single" w:color="DDE3EA" w:sz="4"/>
              <w:left w:val="single" w:color="DDE3EA" w:sz="4"/>
              <w:bottom w:val="single" w:color="DDE3EA" w:sz="4"/>
              <w:right w:val="single" w:color="DDE3EA" w:sz="4"/>
            </w:tcBorders>
            <w:shd w:fill="EFF2F6" w:color="auto" w:val="clear"/>
            <w:tcMar>
              <w:top w:type="dxa" w:w="70"/>
              <w:left w:type="dxa" w:w="100"/>
              <w:bottom w:type="dxa" w:w="70"/>
              <w:right w:type="dxa" w:w="100"/>
            </w:tcMar>
            <w:vAlign w:val="top"/>
          </w:tcPr>
          <w:p>
            <w:pPr>
              <w:spacing w:after="0" w:line="264"/>
            </w:pPr>
            <w:r>
              <w:rPr>
                <w:rFonts w:ascii="Arial" w:cs="Arial" w:eastAsia="Arial" w:hAnsi="Arial"/>
                <w:b/>
                <w:bCs/>
                <w:color w:val="1A1A2E"/>
                <w:sz w:val="20"/>
                <w:szCs w:val="20"/>
              </w:rPr>
              <w:t xml:space="preserve">Jan 11, 2028</w:t>
            </w:r>
          </w:p>
        </w:tc>
        <w:tc>
          <w:tcPr>
            <w:tcW w:type="dxa" w:w="7280"/>
            <w:tcBorders>
              <w:top w:val="single" w:color="DDE3EA" w:sz="4"/>
              <w:left w:val="single" w:color="DDE3EA" w:sz="4"/>
              <w:bottom w:val="single" w:color="DDE3EA" w:sz="4"/>
              <w:right w:val="single" w:color="DDE3EA" w:sz="4"/>
            </w:tcBorders>
            <w:shd w:fill="EFF2F6" w:color="auto" w:val="clear"/>
            <w:tcMar>
              <w:top w:type="dxa" w:w="70"/>
              <w:left w:type="dxa" w:w="100"/>
              <w:bottom w:type="dxa" w:w="70"/>
              <w:right w:type="dxa" w:w="100"/>
            </w:tcMar>
            <w:vAlign w:val="top"/>
          </w:tcPr>
          <w:p>
            <w:pPr>
              <w:spacing w:after="0" w:line="264"/>
            </w:pPr>
            <w:r>
              <w:rPr>
                <w:rFonts w:ascii="Arial" w:cs="Arial" w:eastAsia="Arial" w:hAnsi="Arial"/>
                <w:b w:val="false"/>
                <w:bCs w:val="false"/>
                <w:color w:val="1A1A2E"/>
                <w:sz w:val="20"/>
                <w:szCs w:val="20"/>
              </w:rPr>
              <w:t xml:space="preserve">Study and report to Congress on whether fewer than 80 percent of lenders using the URLA have included the VA-loan disclosure required by new §1329. (Sec. 601)</w:t>
            </w:r>
          </w:p>
        </w:tc>
        <w:tc>
          <w:tcPr>
            <w:tcW w:type="dxa" w:w="1400"/>
            <w:tcBorders>
              <w:top w:val="single" w:color="DDE3EA" w:sz="4"/>
              <w:left w:val="single" w:color="DDE3EA" w:sz="4"/>
              <w:bottom w:val="single" w:color="DDE3EA" w:sz="4"/>
              <w:right w:val="single" w:color="DDE3EA" w:sz="4"/>
            </w:tcBorders>
            <w:shd w:fill="EFF2F6" w:color="auto" w:val="clear"/>
            <w:tcMar>
              <w:top w:type="dxa" w:w="70"/>
              <w:left w:type="dxa" w:w="100"/>
              <w:bottom w:type="dxa" w:w="70"/>
              <w:right w:type="dxa" w:w="100"/>
            </w:tcMar>
            <w:vAlign w:val="top"/>
          </w:tcPr>
          <w:p>
            <w:pPr>
              <w:spacing w:after="0" w:line="264"/>
            </w:pPr>
            <w:r>
              <w:rPr>
                <w:rFonts w:ascii="Arial" w:cs="Arial" w:eastAsia="Arial" w:hAnsi="Arial"/>
                <w:b w:val="false"/>
                <w:bCs w:val="false"/>
                <w:color w:val="1A1A2E"/>
                <w:sz w:val="20"/>
                <w:szCs w:val="20"/>
              </w:rPr>
              <w:t xml:space="preserve">GAO</w:t>
            </w:r>
          </w:p>
        </w:tc>
      </w:tr>
    </w:tbl>
    <w:p>
      <w:pPr>
        <w:pStyle w:val="Heading1"/>
        <w:keepNext/>
        <w:spacing w:after="100" w:before="280" w:line="276"/>
      </w:pPr>
      <w:r>
        <w:rPr>
          <w:rFonts w:ascii="Arial" w:cs="Arial" w:eastAsia="Arial" w:hAnsi="Arial"/>
          <w:b/>
          <w:bCs/>
          <w:color w:val="154360"/>
          <w:sz w:val="26"/>
          <w:szCs w:val="26"/>
        </w:rPr>
        <w:t xml:space="preserve">5. Recommended actions</w:t>
      </w:r>
    </w:p>
    <w:p>
      <w:pPr>
        <w:spacing w:after="120" w:line="336"/>
      </w:pPr>
      <w:r>
        <w:rPr>
          <w:rFonts w:ascii="Arial" w:cs="Arial" w:eastAsia="Arial" w:hAnsi="Arial"/>
          <w:color w:val="1A1A2E"/>
          <w:sz w:val="22"/>
          <w:szCs w:val="22"/>
        </w:rPr>
        <w:t xml:space="preserve">Grouped by suggested horizon. Assign an owner and a due date to each line you keep.</w:t>
      </w:r>
    </w:p>
    <w:p>
      <w:pPr>
        <w:pStyle w:val="Heading2"/>
        <w:keepNext/>
        <w:spacing w:after="60" w:before="160" w:line="276"/>
      </w:pPr>
      <w:r>
        <w:rPr>
          <w:rFonts w:ascii="Arial" w:cs="Arial" w:eastAsia="Arial" w:hAnsi="Arial"/>
          <w:b/>
          <w:bCs/>
          <w:color w:val="1B4F72"/>
          <w:sz w:val="22"/>
          <w:szCs w:val="22"/>
        </w:rPr>
        <w:t xml:space="preserve">Now</w:t>
      </w:r>
    </w:p>
    <w:p>
      <w:pPr>
        <w:tabs>
          <w:tab w:val="left" w:pos="360"/>
        </w:tabs>
        <w:spacing w:after="60" w:line="336"/>
        <w:ind w:left="360" w:hanging="360"/>
      </w:pPr>
      <w:r>
        <w:rPr>
          <w:rFonts w:ascii="Arial" w:cs="Arial" w:eastAsia="Arial" w:hAnsi="Arial"/>
          <w:color w:val="1B4F72"/>
          <w:sz w:val="22"/>
          <w:szCs w:val="22"/>
        </w:rPr>
        <w:t xml:space="preserve">☐	</w:t>
      </w:r>
      <w:r>
        <w:rPr>
          <w:rFonts w:ascii="Arial" w:cs="Arial" w:eastAsia="Arial" w:hAnsi="Arial"/>
          <w:color w:val="1A1A2E"/>
          <w:sz w:val="22"/>
          <w:szCs w:val="22"/>
        </w:rPr>
        <w:t xml:space="preserve">HUD-VASH partners (PHAs and VA medical centers): update intake and eligibility procedures so VA disability compensation and pension are excluded from income eligibility — and only eligibility — for HUD-VASH and for VASH households seeking other assistance.</w:t>
      </w:r>
      <w:r>
        <w:rPr>
          <w:rFonts w:ascii="Arial" w:cs="Arial" w:eastAsia="Arial" w:hAnsi="Arial"/>
          <w:color w:val="4B5563"/>
          <w:sz w:val="18"/>
          <w:szCs w:val="18"/>
        </w:rPr>
        <w:t xml:space="preserve">  (Sec. 602)</w:t>
      </w:r>
      <w:r>
        <w:rPr>
          <w:rFonts w:ascii="Arial" w:cs="Arial" w:eastAsia="Arial" w:hAnsi="Arial"/>
          <w:color w:val="A66A15"/>
          <w:sz w:val="18"/>
          <w:szCs w:val="18"/>
        </w:rPr>
        <w:t xml:space="preserve">  [Owner]  [Due]</w:t>
      </w:r>
    </w:p>
    <w:p>
      <w:pPr>
        <w:pStyle w:val="Heading2"/>
        <w:keepNext/>
        <w:spacing w:after="60" w:before="160" w:line="276"/>
      </w:pPr>
      <w:r>
        <w:rPr>
          <w:rFonts w:ascii="Arial" w:cs="Arial" w:eastAsia="Arial" w:hAnsi="Arial"/>
          <w:b/>
          <w:bCs/>
          <w:color w:val="1B4F72"/>
          <w:sz w:val="22"/>
          <w:szCs w:val="22"/>
        </w:rPr>
        <w:t xml:space="preserve">Next 90 days</w:t>
      </w:r>
    </w:p>
    <w:p>
      <w:pPr>
        <w:tabs>
          <w:tab w:val="left" w:pos="360"/>
        </w:tabs>
        <w:spacing w:after="60" w:line="336"/>
        <w:ind w:left="360" w:hanging="360"/>
      </w:pPr>
      <w:r>
        <w:rPr>
          <w:rFonts w:ascii="Arial" w:cs="Arial" w:eastAsia="Arial" w:hAnsi="Arial"/>
          <w:color w:val="1B4F72"/>
          <w:sz w:val="22"/>
          <w:szCs w:val="22"/>
        </w:rPr>
        <w:t xml:space="preserve">☐	</w:t>
      </w:r>
      <w:r>
        <w:rPr>
          <w:rFonts w:ascii="Arial" w:cs="Arial" w:eastAsia="Arial" w:hAnsi="Arial"/>
          <w:color w:val="1A1A2E"/>
          <w:sz w:val="22"/>
          <w:szCs w:val="22"/>
        </w:rPr>
        <w:t xml:space="preserve">Developers of housing on VA property (for example enhanced-use lease projects): apply the same VA-benefit exclusion when determining a veteran’s eligibility to rent HUD-assisted units built on or after July 11, 2026.</w:t>
      </w:r>
      <w:r>
        <w:rPr>
          <w:rFonts w:ascii="Arial" w:cs="Arial" w:eastAsia="Arial" w:hAnsi="Arial"/>
          <w:color w:val="4B5563"/>
          <w:sz w:val="18"/>
          <w:szCs w:val="18"/>
        </w:rPr>
        <w:t xml:space="preserve">  (Sec. 602)</w:t>
      </w:r>
      <w:r>
        <w:rPr>
          <w:rFonts w:ascii="Arial" w:cs="Arial" w:eastAsia="Arial" w:hAnsi="Arial"/>
          <w:color w:val="A66A15"/>
          <w:sz w:val="18"/>
          <w:szCs w:val="18"/>
        </w:rPr>
        <w:t xml:space="preserve">  [Owner]  [Due]</w:t>
      </w:r>
    </w:p>
    <w:p>
      <w:pPr>
        <w:pStyle w:val="Heading2"/>
        <w:keepNext/>
        <w:spacing w:after="60" w:before="160" w:line="276"/>
      </w:pPr>
      <w:r>
        <w:rPr>
          <w:rFonts w:ascii="Arial" w:cs="Arial" w:eastAsia="Arial" w:hAnsi="Arial"/>
          <w:b/>
          <w:bCs/>
          <w:color w:val="1B4F72"/>
          <w:sz w:val="22"/>
          <w:szCs w:val="22"/>
        </w:rPr>
        <w:t xml:space="preserve">By end of 2026</w:t>
      </w:r>
    </w:p>
    <w:p>
      <w:pPr>
        <w:tabs>
          <w:tab w:val="left" w:pos="360"/>
        </w:tabs>
        <w:spacing w:after="60" w:line="336"/>
        <w:ind w:left="360" w:hanging="360"/>
      </w:pPr>
      <w:r>
        <w:rPr>
          <w:rFonts w:ascii="Arial" w:cs="Arial" w:eastAsia="Arial" w:hAnsi="Arial"/>
          <w:color w:val="1B4F72"/>
          <w:sz w:val="22"/>
          <w:szCs w:val="22"/>
        </w:rPr>
        <w:t xml:space="preserve">☐	</w:t>
      </w:r>
      <w:r>
        <w:rPr>
          <w:rFonts w:ascii="Arial" w:cs="Arial" w:eastAsia="Arial" w:hAnsi="Arial"/>
          <w:color w:val="1A1A2E"/>
          <w:sz w:val="22"/>
          <w:szCs w:val="22"/>
        </w:rPr>
        <w:t xml:space="preserve">ESG recipients and Continuums of Care: decide whether local need justifies a waiver of the 60% shelter and outreach cap for FY2027–2030 funds; if so, build the spending plan, public-input record, and subrecipient and CoC notice the statute requires — and check the jurisdiction’s encampment practices against the anti-relocation denial clause.</w:t>
      </w:r>
      <w:r>
        <w:rPr>
          <w:rFonts w:ascii="Arial" w:cs="Arial" w:eastAsia="Arial" w:hAnsi="Arial"/>
          <w:color w:val="4B5563"/>
          <w:sz w:val="18"/>
          <w:szCs w:val="18"/>
        </w:rPr>
        <w:t xml:space="preserve">  (Sec. 503)</w:t>
      </w:r>
      <w:r>
        <w:rPr>
          <w:rFonts w:ascii="Arial" w:cs="Arial" w:eastAsia="Arial" w:hAnsi="Arial"/>
          <w:color w:val="A66A15"/>
          <w:sz w:val="18"/>
          <w:szCs w:val="18"/>
        </w:rPr>
        <w:t xml:space="preserve">  [Owner]  [Due]</w:t>
      </w:r>
    </w:p>
    <w:p>
      <w:pPr>
        <w:pStyle w:val="Heading2"/>
        <w:keepNext/>
        <w:spacing w:after="60" w:before="160" w:line="276"/>
      </w:pPr>
      <w:r>
        <w:rPr>
          <w:rFonts w:ascii="Arial" w:cs="Arial" w:eastAsia="Arial" w:hAnsi="Arial"/>
          <w:b/>
          <w:bCs/>
          <w:color w:val="1B4F72"/>
          <w:sz w:val="22"/>
          <w:szCs w:val="22"/>
        </w:rPr>
        <w:t xml:space="preserve">In 2027</w:t>
      </w:r>
    </w:p>
    <w:p>
      <w:pPr>
        <w:tabs>
          <w:tab w:val="left" w:pos="360"/>
        </w:tabs>
        <w:spacing w:after="60" w:line="336"/>
        <w:ind w:left="360" w:hanging="360"/>
      </w:pPr>
      <w:r>
        <w:rPr>
          <w:rFonts w:ascii="Arial" w:cs="Arial" w:eastAsia="Arial" w:hAnsi="Arial"/>
          <w:color w:val="1B4F72"/>
          <w:sz w:val="22"/>
          <w:szCs w:val="22"/>
        </w:rPr>
        <w:t xml:space="preserve">☐	</w:t>
      </w:r>
      <w:r>
        <w:rPr>
          <w:rFonts w:ascii="Arial" w:cs="Arial" w:eastAsia="Arial" w:hAnsi="Arial"/>
          <w:color w:val="1A1A2E"/>
          <w:sz w:val="22"/>
          <w:szCs w:val="22"/>
        </w:rPr>
        <w:t xml:space="preserve">Lenders and housing counselors serving veterans: prepare for the URLA military-service question and VA-eligibility prompt (FHFA rule due about January 11, 2027) and the VA cost comparison in FHA’s informed-consumer-choice notice; GAO will study lender adoption within 18 months.</w:t>
      </w:r>
      <w:r>
        <w:rPr>
          <w:rFonts w:ascii="Arial" w:cs="Arial" w:eastAsia="Arial" w:hAnsi="Arial"/>
          <w:color w:val="4B5563"/>
          <w:sz w:val="18"/>
          <w:szCs w:val="18"/>
        </w:rPr>
        <w:t xml:space="preserve">  (Sec. 601, 603)</w:t>
      </w:r>
      <w:r>
        <w:rPr>
          <w:rFonts w:ascii="Arial" w:cs="Arial" w:eastAsia="Arial" w:hAnsi="Arial"/>
          <w:color w:val="A66A15"/>
          <w:sz w:val="18"/>
          <w:szCs w:val="18"/>
        </w:rPr>
        <w:t xml:space="preserve">  [Owner]  [Due]</w:t>
      </w:r>
    </w:p>
    <w:p>
      <w:pPr>
        <w:tabs>
          <w:tab w:val="left" w:pos="360"/>
        </w:tabs>
        <w:spacing w:after="60" w:line="336"/>
        <w:ind w:left="360" w:hanging="360"/>
      </w:pPr>
      <w:r>
        <w:rPr>
          <w:rFonts w:ascii="Arial" w:cs="Arial" w:eastAsia="Arial" w:hAnsi="Arial"/>
          <w:color w:val="1B4F72"/>
          <w:sz w:val="22"/>
          <w:szCs w:val="22"/>
        </w:rPr>
        <w:t xml:space="preserve">☐	</w:t>
      </w:r>
      <w:r>
        <w:rPr>
          <w:rFonts w:ascii="Arial" w:cs="Arial" w:eastAsia="Arial" w:hAnsi="Arial"/>
          <w:color w:val="1A1A2E"/>
          <w:sz w:val="22"/>
          <w:szCs w:val="22"/>
        </w:rPr>
        <w:t xml:space="preserve">Watch the HUD–USDA–VA coordination report (due about January 7, 2027, after a 30-day Federal Register comment period) for recommendations on federal rules that impede construction of VA-, FHA- and RHS-financed housing.</w:t>
      </w:r>
      <w:r>
        <w:rPr>
          <w:rFonts w:ascii="Arial" w:cs="Arial" w:eastAsia="Arial" w:hAnsi="Arial"/>
          <w:color w:val="4B5563"/>
          <w:sz w:val="18"/>
          <w:szCs w:val="18"/>
        </w:rPr>
        <w:t xml:space="preserve">  (Sec. 801)</w:t>
      </w:r>
      <w:r>
        <w:rPr>
          <w:rFonts w:ascii="Arial" w:cs="Arial" w:eastAsia="Arial" w:hAnsi="Arial"/>
          <w:color w:val="A66A15"/>
          <w:sz w:val="18"/>
          <w:szCs w:val="18"/>
        </w:rPr>
        <w:t xml:space="preserve">  [Owner]  [Due]</w:t>
      </w:r>
    </w:p>
    <w:p>
      <w:pPr>
        <w:tabs>
          <w:tab w:val="left" w:pos="360"/>
        </w:tabs>
        <w:spacing w:after="60" w:line="336"/>
        <w:ind w:left="360" w:hanging="360"/>
      </w:pPr>
      <w:r>
        <w:rPr>
          <w:rFonts w:ascii="Arial" w:cs="Arial" w:eastAsia="Arial" w:hAnsi="Arial"/>
          <w:color w:val="1B4F72"/>
          <w:sz w:val="22"/>
          <w:szCs w:val="22"/>
        </w:rPr>
        <w:t xml:space="preserve">☐	</w:t>
      </w:r>
      <w:r>
        <w:rPr>
          <w:rFonts w:ascii="Arial" w:cs="Arial" w:eastAsia="Arial" w:hAnsi="Arial"/>
          <w:color w:val="1A1A2E"/>
          <w:sz w:val="22"/>
          <w:szCs w:val="22"/>
        </w:rPr>
        <w:t xml:space="preserve">PHAs serving families with children and youth aging out of foster care above the national average: consider the new MTW cohort, where the statute directs HUD to prioritize you and to report homelessness status at admission.</w:t>
      </w:r>
      <w:r>
        <w:rPr>
          <w:rFonts w:ascii="Arial" w:cs="Arial" w:eastAsia="Arial" w:hAnsi="Arial"/>
          <w:color w:val="4B5563"/>
          <w:sz w:val="18"/>
          <w:szCs w:val="18"/>
        </w:rPr>
        <w:t xml:space="preserve">  (Sec. 505)</w:t>
      </w:r>
      <w:r>
        <w:rPr>
          <w:rFonts w:ascii="Arial" w:cs="Arial" w:eastAsia="Arial" w:hAnsi="Arial"/>
          <w:color w:val="A66A15"/>
          <w:sz w:val="18"/>
          <w:szCs w:val="18"/>
        </w:rPr>
        <w:t xml:space="preserve">  [Owner]  [Due]</w:t>
      </w:r>
    </w:p>
    <w:p>
      <w:pPr>
        <w:tabs>
          <w:tab w:val="left" w:pos="360"/>
        </w:tabs>
        <w:spacing w:after="60" w:line="336"/>
        <w:ind w:left="360" w:hanging="360"/>
      </w:pPr>
      <w:r>
        <w:rPr>
          <w:rFonts w:ascii="Arial" w:cs="Arial" w:eastAsia="Arial" w:hAnsi="Arial"/>
          <w:color w:val="1B4F72"/>
          <w:sz w:val="22"/>
          <w:szCs w:val="22"/>
        </w:rPr>
        <w:t xml:space="preserve">☐	</w:t>
      </w:r>
      <w:r>
        <w:rPr>
          <w:rFonts w:ascii="Arial" w:cs="Arial" w:eastAsia="Arial" w:hAnsi="Arial"/>
          <w:color w:val="1A1A2E"/>
          <w:sz w:val="22"/>
          <w:szCs w:val="22"/>
        </w:rPr>
        <w:t xml:space="preserve">Rural homelessness and preservation partners: use the Section 502 tenant-notice and rural-voucher provisions to keep households housed when USDA Section 515 mortgages mature.</w:t>
      </w:r>
      <w:r>
        <w:rPr>
          <w:rFonts w:ascii="Arial" w:cs="Arial" w:eastAsia="Arial" w:hAnsi="Arial"/>
          <w:color w:val="4B5563"/>
          <w:sz w:val="18"/>
          <w:szCs w:val="18"/>
        </w:rPr>
        <w:t xml:space="preserve">  (Sec. 502)</w:t>
      </w:r>
      <w:r>
        <w:rPr>
          <w:rFonts w:ascii="Arial" w:cs="Arial" w:eastAsia="Arial" w:hAnsi="Arial"/>
          <w:color w:val="A66A15"/>
          <w:sz w:val="18"/>
          <w:szCs w:val="18"/>
        </w:rPr>
        <w:t xml:space="preserve">  [Owner]  [Due]</w:t>
      </w:r>
    </w:p>
    <w:p>
      <w:pPr>
        <w:pStyle w:val="Heading2"/>
        <w:keepNext/>
        <w:spacing w:after="60" w:before="160" w:line="276"/>
      </w:pPr>
      <w:r>
        <w:rPr>
          <w:rFonts w:ascii="Arial" w:cs="Arial" w:eastAsia="Arial" w:hAnsi="Arial"/>
          <w:b/>
          <w:bCs/>
          <w:color w:val="1B4F72"/>
          <w:sz w:val="22"/>
          <w:szCs w:val="22"/>
        </w:rPr>
        <w:t xml:space="preserve">Watch</w:t>
      </w:r>
    </w:p>
    <w:p>
      <w:pPr>
        <w:tabs>
          <w:tab w:val="left" w:pos="360"/>
        </w:tabs>
        <w:spacing w:after="60" w:line="336"/>
        <w:ind w:left="360" w:hanging="360"/>
      </w:pPr>
      <w:r>
        <w:rPr>
          <w:rFonts w:ascii="Arial" w:cs="Arial" w:eastAsia="Arial" w:hAnsi="Arial"/>
          <w:color w:val="1B4F72"/>
          <w:sz w:val="22"/>
          <w:szCs w:val="22"/>
        </w:rPr>
        <w:t xml:space="preserve">☐	</w:t>
      </w:r>
      <w:r>
        <w:rPr>
          <w:rFonts w:ascii="Arial" w:cs="Arial" w:eastAsia="Arial" w:hAnsi="Arial"/>
          <w:color w:val="1A1A2E"/>
          <w:sz w:val="22"/>
          <w:szCs w:val="22"/>
        </w:rPr>
        <w:t xml:space="preserve">Homelessness advocates: engage USICH’s annual report and testimony cycle (Section 703) and HUD’s annual testimony on progress ending homelessness (Section 701) with local data.</w:t>
      </w:r>
      <w:r>
        <w:rPr>
          <w:rFonts w:ascii="Arial" w:cs="Arial" w:eastAsia="Arial" w:hAnsi="Arial"/>
          <w:color w:val="4B5563"/>
          <w:sz w:val="18"/>
          <w:szCs w:val="18"/>
        </w:rPr>
        <w:t xml:space="preserve">  (Sec. 703, 701)</w:t>
      </w:r>
      <w:r>
        <w:rPr>
          <w:rFonts w:ascii="Arial" w:cs="Arial" w:eastAsia="Arial" w:hAnsi="Arial"/>
          <w:color w:val="A66A15"/>
          <w:sz w:val="18"/>
          <w:szCs w:val="18"/>
        </w:rPr>
        <w:t xml:space="preserve">  [Owner]  [Due]</w:t>
      </w:r>
    </w:p>
    <w:p>
      <w:pPr>
        <w:tabs>
          <w:tab w:val="left" w:pos="360"/>
        </w:tabs>
        <w:spacing w:after="60" w:line="336"/>
        <w:ind w:left="360" w:hanging="360"/>
      </w:pPr>
      <w:r>
        <w:rPr>
          <w:rFonts w:ascii="Arial" w:cs="Arial" w:eastAsia="Arial" w:hAnsi="Arial"/>
          <w:color w:val="1B4F72"/>
          <w:sz w:val="22"/>
          <w:szCs w:val="22"/>
        </w:rPr>
        <w:t xml:space="preserve">☐	</w:t>
      </w:r>
      <w:r>
        <w:rPr>
          <w:rFonts w:ascii="Arial" w:cs="Arial" w:eastAsia="Arial" w:hAnsi="Arial"/>
          <w:color w:val="1A1A2E"/>
          <w:sz w:val="22"/>
          <w:szCs w:val="22"/>
        </w:rPr>
        <w:t xml:space="preserve">Push for the CoC reforms that were dropped (two-year NOFO cycle, admin cap increase, remote inspections) through separate legislation, and press appropriators on FY2027 HUD-VASH and homelessness assistance funding.</w:t>
      </w:r>
      <w:r>
        <w:rPr>
          <w:rFonts w:ascii="Arial" w:cs="Arial" w:eastAsia="Arial" w:hAnsi="Arial"/>
          <w:color w:val="4B5563"/>
          <w:sz w:val="18"/>
          <w:szCs w:val="18"/>
        </w:rPr>
        <w:t xml:space="preserve">  (Sec. 1202)</w:t>
      </w:r>
      <w:r>
        <w:rPr>
          <w:rFonts w:ascii="Arial" w:cs="Arial" w:eastAsia="Arial" w:hAnsi="Arial"/>
          <w:color w:val="A66A15"/>
          <w:sz w:val="18"/>
          <w:szCs w:val="18"/>
        </w:rPr>
        <w:t xml:space="preserve">  [Owner]  [Due]</w:t>
      </w:r>
    </w:p>
    <w:p>
      <w:pPr>
        <w:pStyle w:val="Heading1"/>
        <w:keepNext/>
        <w:spacing w:after="100" w:before="280" w:line="276"/>
      </w:pPr>
      <w:r>
        <w:rPr>
          <w:rFonts w:ascii="Arial" w:cs="Arial" w:eastAsia="Arial" w:hAnsi="Arial"/>
          <w:b/>
          <w:bCs/>
          <w:color w:val="154360"/>
          <w:sz w:val="26"/>
          <w:szCs w:val="26"/>
        </w:rPr>
        <w:t xml:space="preserve">6. Watch-outs</w:t>
      </w:r>
    </w:p>
    <w:p>
      <w:pPr>
        <w:pStyle w:val="ListParagraph"/>
        <w:numPr>
          <w:ilvl w:val="0"/>
          <w:numId w:val="2"/>
        </w:numPr>
        <w:spacing w:after="60" w:line="336"/>
      </w:pPr>
      <w:r>
        <w:rPr>
          <w:rFonts w:ascii="Arial" w:cs="Arial" w:eastAsia="Arial" w:hAnsi="Arial"/>
          <w:color w:val="1A1A2E"/>
          <w:sz w:val="22"/>
          <w:szCs w:val="22"/>
        </w:rPr>
        <w:t xml:space="preserve">Section 602 changes eligibility only — VA disability benefits still count in adjusted income for rent, and the Act adds no new HUD-VASH vouchers (HUD separately awarded 2,532 vouchers in June 2026).</w:t>
      </w:r>
    </w:p>
    <w:p>
      <w:pPr>
        <w:pStyle w:val="ListParagraph"/>
        <w:numPr>
          <w:ilvl w:val="0"/>
          <w:numId w:val="2"/>
        </w:numPr>
        <w:spacing w:after="60" w:line="336"/>
      </w:pPr>
      <w:r>
        <w:rPr>
          <w:rFonts w:ascii="Arial" w:cs="Arial" w:eastAsia="Arial" w:hAnsi="Arial"/>
          <w:color w:val="1A1A2E"/>
          <w:sz w:val="22"/>
          <w:szCs w:val="22"/>
        </w:rPr>
        <w:t xml:space="preserve">The Section 503 waiver aligns with HUD’s 2026 shift toward shelter and treatment-first funding; the anti-relocation denial clause is untested and no HUD request process had been published as of August 29, 2026.</w:t>
      </w:r>
    </w:p>
    <w:p>
      <w:pPr>
        <w:pStyle w:val="ListParagraph"/>
        <w:numPr>
          <w:ilvl w:val="0"/>
          <w:numId w:val="2"/>
        </w:numPr>
        <w:spacing w:after="60" w:line="336"/>
      </w:pPr>
      <w:r>
        <w:rPr>
          <w:rFonts w:ascii="Arial" w:cs="Arial" w:eastAsia="Arial" w:hAnsi="Arial"/>
          <w:color w:val="1A1A2E"/>
          <w:sz w:val="22"/>
          <w:szCs w:val="22"/>
        </w:rPr>
        <w:t xml:space="preserve">No Continuum of Care reforms, no new homelessness money, and no eviction or tenant-screening protections are in the Act.</w:t>
      </w:r>
    </w:p>
    <w:p>
      <w:pPr>
        <w:pStyle w:val="ListParagraph"/>
        <w:numPr>
          <w:ilvl w:val="0"/>
          <w:numId w:val="2"/>
        </w:numPr>
        <w:spacing w:after="60" w:line="336"/>
      </w:pPr>
      <w:r>
        <w:rPr>
          <w:rFonts w:ascii="Arial" w:cs="Arial" w:eastAsia="Arial" w:hAnsi="Arial"/>
          <w:color w:val="1A1A2E"/>
          <w:sz w:val="22"/>
          <w:szCs w:val="22"/>
        </w:rPr>
        <w:t xml:space="preserve">Section 703’s national strategic plan timeline reads as within 12 months in the CRS summary of the Senate version; treat that date as unconfirmed for the final text.</w:t>
      </w:r>
    </w:p>
    <w:p>
      <w:pPr>
        <w:pStyle w:val="ListParagraph"/>
        <w:numPr>
          <w:ilvl w:val="0"/>
          <w:numId w:val="2"/>
        </w:numPr>
        <w:spacing w:after="60" w:line="336"/>
      </w:pPr>
      <w:r>
        <w:rPr>
          <w:rFonts w:ascii="Arial" w:cs="Arial" w:eastAsia="Arial" w:hAnsi="Arial"/>
          <w:color w:val="1A1A2E"/>
          <w:sz w:val="22"/>
          <w:szCs w:val="22"/>
        </w:rPr>
        <w:t xml:space="preserve">Section 804(b) is a GAO study of Section 202 and 811 barriers, not a program change; there are no Section 811 or mainstream voucher provisions.</w:t>
      </w:r>
    </w:p>
    <w:p>
      <w:pPr>
        <w:pStyle w:val="Heading1"/>
        <w:keepNext/>
        <w:spacing w:after="100" w:before="280" w:line="276"/>
      </w:pPr>
      <w:r>
        <w:rPr>
          <w:rFonts w:ascii="Arial" w:cs="Arial" w:eastAsia="Arial" w:hAnsi="Arial"/>
          <w:b/>
          <w:bCs/>
          <w:color w:val="154360"/>
          <w:sz w:val="26"/>
          <w:szCs w:val="26"/>
        </w:rPr>
        <w:t xml:space="preserve">7. Questions we still have</w:t>
      </w:r>
    </w:p>
    <w:p>
      <w:pPr>
        <w:keepNext/>
        <w:spacing w:after="120" w:line="336"/>
      </w:pPr>
      <w:r>
        <w:rPr>
          <w:rFonts w:ascii="Arial" w:cs="Arial" w:eastAsia="Arial" w:hAnsi="Arial"/>
          <w:color w:val="1A1A2E"/>
          <w:sz w:val="22"/>
          <w:szCs w:val="22"/>
        </w:rPr>
        <w:t xml:space="preserve">Open items the hub could not pin down as of its last review. Track them before relying on the underlying provision.</w:t>
      </w:r>
    </w:p>
    <w:p>
      <w:pPr>
        <w:pStyle w:val="ListParagraph"/>
        <w:numPr>
          <w:ilvl w:val="0"/>
          <w:numId w:val="2"/>
        </w:numPr>
        <w:spacing w:after="60" w:line="336"/>
      </w:pPr>
      <w:r>
        <w:rPr>
          <w:rFonts w:ascii="Arial" w:cs="Arial" w:eastAsia="Arial" w:hAnsi="Arial"/>
          <w:color w:val="1A1A2E"/>
          <w:sz w:val="22"/>
          <w:szCs w:val="22"/>
        </w:rPr>
        <w:t xml:space="preserve">The status of HUD’s separate work-requirements and term-limits proposed rule (March 2, 2026) and how it interacts with §505’s bar on waiver 12 for the new MTW cohort and the §803 work-requirements study.</w:t>
      </w:r>
    </w:p>
    <w:p>
      <w:pPr>
        <w:pStyle w:val="ListParagraph"/>
        <w:numPr>
          <w:ilvl w:val="0"/>
          <w:numId w:val="2"/>
        </w:numPr>
        <w:spacing w:after="60" w:line="336"/>
      </w:pPr>
      <w:r>
        <w:rPr>
          <w:rFonts w:ascii="Arial" w:cs="Arial" w:eastAsia="Arial" w:hAnsi="Arial"/>
          <w:color w:val="1A1A2E"/>
          <w:sz w:val="22"/>
          <w:szCs w:val="22"/>
        </w:rPr>
        <w:t xml:space="preserve">The subject of the §502(b) USDA study — Section 502 direct-loan payment subsidies and recapture, versus Section 521 rental assistance.</w:t>
      </w:r>
    </w:p>
    <w:p>
      <w:pPr>
        <w:pStyle w:val="ListParagraph"/>
        <w:numPr>
          <w:ilvl w:val="0"/>
          <w:numId w:val="2"/>
        </w:numPr>
        <w:spacing w:after="60" w:line="336"/>
      </w:pPr>
      <w:r>
        <w:rPr>
          <w:rFonts w:ascii="Arial" w:cs="Arial" w:eastAsia="Arial" w:hAnsi="Arial"/>
          <w:color w:val="1A1A2E"/>
          <w:sz w:val="22"/>
          <w:szCs w:val="22"/>
        </w:rPr>
        <w:t xml:space="preserve">Whether FY2027 appropriations will fund the Innovation Fund (§208, $200 million authorized), planning grants (§207), Whole-Home Repairs (§202), RESIDE (§210), PRICE (§304), the temperature-sensor pilot (§106), or the Long-Term Disaster Recovery Fund (§504).</w:t>
      </w:r>
    </w:p>
    <w:p>
      <w:pPr>
        <w:pStyle w:val="ListParagraph"/>
        <w:numPr>
          <w:ilvl w:val="0"/>
          <w:numId w:val="2"/>
        </w:numPr>
        <w:spacing w:after="60" w:line="336"/>
      </w:pPr>
      <w:r>
        <w:rPr>
          <w:rFonts w:ascii="Arial" w:cs="Arial" w:eastAsia="Arial" w:hAnsi="Arial"/>
          <w:color w:val="1A1A2E"/>
          <w:sz w:val="22"/>
          <w:szCs w:val="22"/>
        </w:rPr>
        <w:t xml:space="preserve">How §208’s explicit $200 million-a-year authorization coexists with §1202’s "no additional funds are authorized to be appropriated" clause.</w:t>
      </w:r>
    </w:p>
    <w:p>
      <w:pPr>
        <w:pStyle w:val="Heading1"/>
        <w:keepNext/>
        <w:spacing w:after="100" w:before="280" w:line="276"/>
      </w:pPr>
      <w:r>
        <w:rPr>
          <w:rFonts w:ascii="Arial" w:cs="Arial" w:eastAsia="Arial" w:hAnsi="Arial"/>
          <w:b/>
          <w:bCs/>
          <w:color w:val="154360"/>
          <w:sz w:val="26"/>
          <w:szCs w:val="26"/>
        </w:rPr>
        <w:t xml:space="preserve">8. Sources</w:t>
      </w:r>
    </w:p>
    <w:p>
      <w:pPr>
        <w:pStyle w:val="ListParagraph"/>
        <w:keepNext w:val="false"/>
        <w:numPr>
          <w:ilvl w:val="0"/>
          <w:numId w:val="2"/>
        </w:numPr>
        <w:spacing w:after="40" w:line="288"/>
      </w:pPr>
      <w:r>
        <w:rPr>
          <w:rFonts w:ascii="Arial" w:cs="Arial" w:eastAsia="Arial" w:hAnsi="Arial"/>
          <w:b/>
          <w:bCs/>
          <w:color w:val="1A1A2E"/>
          <w:sz w:val="22"/>
          <w:szCs w:val="22"/>
        </w:rPr>
        <w:t xml:space="preserve">AI Housers hub — </w:t>
      </w:r>
      <w:r>
        <w:rPr>
          <w:rFonts w:ascii="Arial" w:cs="Arial" w:eastAsia="Arial" w:hAnsi="Arial"/>
          <w:color w:val="0A66C2"/>
          <w:sz w:val="22"/>
          <w:szCs w:val="22"/>
        </w:rPr>
        <w:t xml:space="preserve">https://aihousers.com/road-to-housing/for/veterans-homelessness</w:t>
      </w:r>
    </w:p>
    <w:p>
      <w:pPr>
        <w:pStyle w:val="ListParagraph"/>
        <w:keepNext w:val="false"/>
        <w:numPr>
          <w:ilvl w:val="0"/>
          <w:numId w:val="2"/>
        </w:numPr>
        <w:spacing w:after="40" w:line="288"/>
      </w:pPr>
      <w:r>
        <w:rPr>
          <w:rFonts w:ascii="Arial" w:cs="Arial" w:eastAsia="Arial" w:hAnsi="Arial"/>
          <w:color w:val="1A1A2E"/>
          <w:sz w:val="22"/>
          <w:szCs w:val="22"/>
        </w:rPr>
        <w:t xml:space="preserve">H.R. 6644 — Enrolled bill text (21st Century ROAD to Housing Act) (GovInfo (GPO)) — </w:t>
      </w:r>
      <w:r>
        <w:rPr>
          <w:rFonts w:ascii="Arial" w:cs="Arial" w:eastAsia="Arial" w:hAnsi="Arial"/>
          <w:color w:val="0A66C2"/>
          <w:sz w:val="16"/>
          <w:szCs w:val="16"/>
        </w:rPr>
        <w:t xml:space="preserve">https://www.govinfo.gov/content/pkg/BILLS-119hr6644enr/html/BILLS-119hr6644enr.htm</w:t>
      </w:r>
    </w:p>
    <w:p>
      <w:pPr>
        <w:pStyle w:val="ListParagraph"/>
        <w:keepNext w:val="false"/>
        <w:numPr>
          <w:ilvl w:val="0"/>
          <w:numId w:val="2"/>
        </w:numPr>
        <w:spacing w:after="40" w:line="288"/>
      </w:pPr>
      <w:r>
        <w:rPr>
          <w:rFonts w:ascii="Arial" w:cs="Arial" w:eastAsia="Arial" w:hAnsi="Arial"/>
          <w:color w:val="1A1A2E"/>
          <w:sz w:val="22"/>
          <w:szCs w:val="22"/>
        </w:rPr>
        <w:t xml:space="preserve">BPC — What’s in the 21st Century ROAD to Housing Act? (Bipartisan Policy Center) — </w:t>
      </w:r>
      <w:r>
        <w:rPr>
          <w:rFonts w:ascii="Arial" w:cs="Arial" w:eastAsia="Arial" w:hAnsi="Arial"/>
          <w:color w:val="0A66C2"/>
          <w:sz w:val="16"/>
          <w:szCs w:val="16"/>
        </w:rPr>
        <w:t xml:space="preserve">https://bipartisanpolicy.org/explainer/whats-in-the-21st-century-road-to-housing-act/</w:t>
      </w:r>
    </w:p>
    <w:p>
      <w:pPr>
        <w:pStyle w:val="ListParagraph"/>
        <w:keepNext w:val="false"/>
        <w:numPr>
          <w:ilvl w:val="0"/>
          <w:numId w:val="2"/>
        </w:numPr>
        <w:spacing w:after="40" w:line="288"/>
      </w:pPr>
      <w:r>
        <w:rPr>
          <w:rFonts w:ascii="Arial" w:cs="Arial" w:eastAsia="Arial" w:hAnsi="Arial"/>
          <w:color w:val="1A1A2E"/>
          <w:sz w:val="22"/>
          <w:szCs w:val="22"/>
        </w:rPr>
        <w:t xml:space="preserve">NLIHC — 21st Century ROAD to Housing Act: Impacts on Low-Income Households (July 2026) (National Low Income Housing Coalition) — </w:t>
      </w:r>
      <w:r>
        <w:rPr>
          <w:rFonts w:ascii="Arial" w:cs="Arial" w:eastAsia="Arial" w:hAnsi="Arial"/>
          <w:color w:val="0A66C2"/>
          <w:sz w:val="16"/>
          <w:szCs w:val="16"/>
        </w:rPr>
        <w:t xml:space="preserve">https://nlihc.org/sites/default/files/ROAD_Impacts_071026.pdf</w:t>
      </w:r>
    </w:p>
    <w:p>
      <w:pPr>
        <w:pStyle w:val="ListParagraph"/>
        <w:keepNext w:val="false"/>
        <w:numPr>
          <w:ilvl w:val="0"/>
          <w:numId w:val="2"/>
        </w:numPr>
        <w:spacing w:after="40" w:line="288"/>
      </w:pPr>
      <w:r>
        <w:rPr>
          <w:rFonts w:ascii="Arial" w:cs="Arial" w:eastAsia="Arial" w:hAnsi="Arial"/>
          <w:color w:val="1A1A2E"/>
          <w:sz w:val="22"/>
          <w:szCs w:val="22"/>
        </w:rPr>
        <w:t xml:space="preserve">Fact sheet — families, veterans, rural communities (Senate Banking Committee) — </w:t>
      </w:r>
      <w:r>
        <w:rPr>
          <w:rFonts w:ascii="Arial" w:cs="Arial" w:eastAsia="Arial" w:hAnsi="Arial"/>
          <w:color w:val="0A66C2"/>
          <w:sz w:val="16"/>
          <w:szCs w:val="16"/>
        </w:rPr>
        <w:t xml:space="preserve">https://www.banking.senate.gov/imo/media/doc/road_families_vets_rural.pdf</w:t>
      </w:r>
    </w:p>
    <w:p>
      <w:pPr>
        <w:pStyle w:val="ListParagraph"/>
        <w:keepNext w:val="false"/>
        <w:numPr>
          <w:ilvl w:val="0"/>
          <w:numId w:val="2"/>
        </w:numPr>
        <w:spacing w:after="40" w:line="288"/>
      </w:pPr>
      <w:r>
        <w:rPr>
          <w:rFonts w:ascii="Arial" w:cs="Arial" w:eastAsia="Arial" w:hAnsi="Arial"/>
          <w:color w:val="1A1A2E"/>
          <w:sz w:val="22"/>
          <w:szCs w:val="22"/>
        </w:rPr>
        <w:t xml:space="preserve">Warren/Schumer letter to FHFA Director Pulte urging implementation of ROAD directives (Senate Banking Committee (Minority)) — </w:t>
      </w:r>
      <w:r>
        <w:rPr>
          <w:rFonts w:ascii="Arial" w:cs="Arial" w:eastAsia="Arial" w:hAnsi="Arial"/>
          <w:color w:val="0A66C2"/>
          <w:sz w:val="16"/>
          <w:szCs w:val="16"/>
        </w:rPr>
        <w:t xml:space="preserve">https://www.banking.senate.gov/imo/media/doc/2026.07.26%20Letter_Pulte%20Affordability%20Follow%20Up%20v2.pdf</w:t>
      </w:r>
    </w:p>
    <w:p>
      <w:pPr>
        <w:pStyle w:val="ListParagraph"/>
        <w:keepNext/>
        <w:numPr>
          <w:ilvl w:val="0"/>
          <w:numId w:val="2"/>
        </w:numPr>
        <w:spacing w:after="40" w:line="288"/>
      </w:pPr>
      <w:r>
        <w:rPr>
          <w:rFonts w:ascii="Arial" w:cs="Arial" w:eastAsia="Arial" w:hAnsi="Arial"/>
          <w:color w:val="1A1A2E"/>
          <w:sz w:val="22"/>
          <w:szCs w:val="22"/>
        </w:rPr>
        <w:t xml:space="preserve">NLIHC — “ROAD to Housing Act” becomes law; new resource available (National Low Income Housing Coalition) — </w:t>
      </w:r>
      <w:r>
        <w:rPr>
          <w:rFonts w:ascii="Arial" w:cs="Arial" w:eastAsia="Arial" w:hAnsi="Arial"/>
          <w:color w:val="0A66C2"/>
          <w:sz w:val="16"/>
          <w:szCs w:val="16"/>
        </w:rPr>
        <w:t xml:space="preserve">https://nlihc.org/resource/21st-century-road-housing-act-becomes-law-new-nlihc-resource-available</w:t>
      </w:r>
    </w:p>
    <w:p>
      <w:pPr>
        <w:pStyle w:val="ListParagraph"/>
        <w:keepNext/>
        <w:numPr>
          <w:ilvl w:val="0"/>
          <w:numId w:val="2"/>
        </w:numPr>
        <w:spacing w:after="40" w:line="288"/>
      </w:pPr>
      <w:r>
        <w:rPr>
          <w:rFonts w:ascii="Arial" w:cs="Arial" w:eastAsia="Arial" w:hAnsi="Arial"/>
          <w:color w:val="1A1A2E"/>
          <w:sz w:val="22"/>
          <w:szCs w:val="22"/>
        </w:rPr>
        <w:t xml:space="preserve">National Alliance to End Homelessness — endorsement letter (Mar 9, 2026) (National Alliance to End Homelessness (via Senate Banking)) — </w:t>
      </w:r>
      <w:r>
        <w:rPr>
          <w:rFonts w:ascii="Arial" w:cs="Arial" w:eastAsia="Arial" w:hAnsi="Arial"/>
          <w:color w:val="0A66C2"/>
          <w:sz w:val="16"/>
          <w:szCs w:val="16"/>
        </w:rPr>
        <w:t xml:space="preserve">https://www.banking.senate.gov/download/road-endorsement-letter-naeh-03-09-2026&amp;download=1</w:t>
      </w:r>
    </w:p>
    <w:p>
      <w:pPr>
        <w:keepNext/>
        <w:pBdr>
          <w:top w:val="single" w:color="DDE3EA" w:sz="4" w:space="8"/>
        </w:pBdr>
        <w:spacing w:after="80" w:before="140" w:line="336"/>
      </w:pPr>
      <w:r>
        <w:rPr>
          <w:rFonts w:ascii="Arial" w:cs="Arial" w:eastAsia="Arial" w:hAnsi="Arial"/>
          <w:b/>
          <w:bCs/>
          <w:i/>
          <w:iCs/>
          <w:color w:val="154360"/>
          <w:sz w:val="22"/>
          <w:szCs w:val="22"/>
        </w:rPr>
        <w:t xml:space="preserve">Make it yours: </w:t>
      </w:r>
      <w:r>
        <w:rPr>
          <w:rFonts w:ascii="Arial" w:cs="Arial" w:eastAsia="Arial" w:hAnsi="Arial"/>
          <w:i/>
          <w:iCs/>
          <w:color w:val="1A1A2E"/>
          <w:sz w:val="22"/>
          <w:szCs w:val="22"/>
        </w:rPr>
        <w:t xml:space="preserve">replace the bracketed placeholders, trim rows that don’t apply, and add your local numbers.</w:t>
      </w:r>
    </w:p>
    <w:p>
      <w:pPr>
        <w:keepNext/>
        <w:spacing w:after="60" w:line="252"/>
      </w:pPr>
      <w:r>
        <w:rPr>
          <w:rFonts w:ascii="Arial" w:cs="Arial" w:eastAsia="Arial" w:hAnsi="Arial"/>
          <w:color w:val="4B5563"/>
          <w:sz w:val="17"/>
          <w:szCs w:val="17"/>
        </w:rPr>
        <w:t xml:space="preserve">Independent, plain-language explainer prepared by AI Housers (Houser Technologies LLC). Not legal, compliance, or financial advice; not affiliated with HUD, USDA, Congress, or any agency. Every fact traces to a primary or authoritative source; confirm against the enacted text and official agency guidance before acting.</w:t>
      </w:r>
    </w:p>
    <w:p>
      <w:pPr>
        <w:keepNext/>
        <w:spacing w:after="60" w:line="252"/>
      </w:pPr>
      <w:r>
        <w:rPr>
          <w:rFonts w:ascii="Arial" w:cs="Arial" w:eastAsia="Arial" w:hAnsi="Arial"/>
          <w:color w:val="4B5563"/>
          <w:sz w:val="17"/>
          <w:szCs w:val="17"/>
        </w:rPr>
        <w:t xml:space="preserve">Prepared from aihousers.com/road-to-housing · content reviewed August 29, 2026</w:t>
      </w:r>
    </w:p>
    <w:p>
      <w:pPr>
        <w:spacing w:after="0" w:line="252"/>
      </w:pPr>
      <w:r>
        <w:rPr>
          <w:rFonts w:ascii="Arial" w:cs="Arial" w:eastAsia="Arial" w:hAnsi="Arial"/>
          <w:color w:val="4B5563"/>
          <w:sz w:val="17"/>
          <w:szCs w:val="17"/>
        </w:rPr>
        <w:t xml:space="preserve">Reuse freely, including with your own logo, with attribution to AI Housers — aihousers.com/road-to-housing (CC BY 4.0). </w:t>
      </w:r>
      <w:r>
        <w:rPr>
          <w:rFonts w:ascii="Arial" w:cs="Arial" w:eastAsia="Arial" w:hAnsi="Arial"/>
          <w:color w:val="0A66C2"/>
          <w:sz w:val="17"/>
          <w:szCs w:val="17"/>
        </w:rPr>
        <w:t xml:space="preserve">https://creativecommons.org/licenses/by/4.0/</w:t>
      </w:r>
    </w:p>
    <w:sectPr>
      <w:headerReference w:type="default" r:id="rId7"/>
      <w:footerReference w:type="default" r:id="rId8"/>
      <w:pgSz w:w="12240" w:h="15840" w:orient="portrait"/>
      <w:pgMar w:top="1080" w:right="1080" w:bottom="1080" w:left="1080" w:header="500" w:footer="500"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pBdr>
        <w:top w:val="single" w:color="DDE3EA" w:sz="4" w:space="6"/>
      </w:pBdr>
      <w:tabs>
        <w:tab w:val="right" w:pos="10080"/>
      </w:tabs>
      <w:spacing w:after="0" w:line="240"/>
    </w:pPr>
    <w:r>
      <w:rPr>
        <w:rFonts w:ascii="Arial" w:cs="Arial" w:eastAsia="Arial" w:hAnsi="Arial"/>
        <w:color w:val="4B5563"/>
        <w:sz w:val="14"/>
        <w:szCs w:val="14"/>
      </w:rPr>
      <w:t xml:space="preserve">Houser Technologies LLC d/b/a AI Housers · aihousers.com · Not legal, compliance, or financial advice.</w:t>
    </w:r>
    <w:r>
      <w:rPr>
        <w:rFonts w:ascii="Arial" w:cs="Arial" w:eastAsia="Arial" w:hAnsi="Arial"/>
        <w:color w:val="4B5563"/>
        <w:sz w:val="14"/>
        <w:szCs w:val="14"/>
      </w:rPr>
      <w:t xml:space="preserve">	Page </w:t>
    </w:r>
    <w:r>
      <w:rPr>
        <w:rFonts w:ascii="Arial" w:cs="Arial" w:eastAsia="Arial" w:hAnsi="Arial"/>
        <w:color w:val="4B5563"/>
        <w:sz w:val="14"/>
        <w:szCs w:val="14"/>
      </w:rPr>
      <w:fldChar w:fldCharType="begin"/>
      <w:instrText xml:space="preserve">PAGE</w:instrText>
      <w:fldChar w:fldCharType="separate"/>
      <w:fldChar w:fldCharType="end"/>
    </w:r>
    <w:r>
      <w:rPr>
        <w:rFonts w:ascii="Arial" w:cs="Arial" w:eastAsia="Arial" w:hAnsi="Arial"/>
        <w:color w:val="4B5563"/>
        <w:sz w:val="14"/>
        <w:szCs w:val="14"/>
      </w:rPr>
      <w:t xml:space="preserve"> of </w:t>
    </w:r>
    <w:r>
      <w:rPr>
        <w:rFonts w:ascii="Arial" w:cs="Arial" w:eastAsia="Arial" w:hAnsi="Arial"/>
        <w:color w:val="4B5563"/>
        <w:sz w:val="14"/>
        <w:szCs w:val="14"/>
      </w:rPr>
      <w:fldChar w:fldCharType="begin"/>
      <w:instrText xml:space="preserve">NUMPAGES</w:instrText>
      <w:fldChar w:fldCharType="separate"/>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w16cid="http://schemas.microsoft.com/office/word/2016/wordml/cid" xmlns:w16se="http://schemas.microsoft.com/office/word/2015/wordml/symex">
  <w:p>
    <w:pPr>
      <w:spacing w:after="0"/>
      <w:jc w:val="right"/>
    </w:pPr>
    <w:r>
      <w:rPr>
        <w:rFonts w:ascii="Arial" w:cs="Arial" w:eastAsia="Arial" w:hAnsi="Arial"/>
        <w:color w:val="4B5563"/>
        <w:sz w:val="15"/>
        <w:szCs w:val="15"/>
      </w:rPr>
      <w:t xml:space="preserve">21st Century ROAD to Housing Act · Veterans &amp; Homelessness Programs · Leadership memo</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abstractNum w:abstractNumId="2" w15:restartNumberingAfterBreak="0">
    <w:multiLevelType w:val="hybridMultilevel"/>
    <w:lvl w:ilvl="0" w15:tentative="1">
      <w:start w:val="1"/>
      <w:numFmt w:val="bullet"/>
      <w:lvlText w:val="•"/>
      <w:lvlJc w:val="left"/>
      <w:pPr>
        <w:ind w:left="360" w:hanging="240"/>
      </w:pPr>
      <w:rPr>
        <w:color w:val="1B4F72"/>
      </w:rPr>
    </w:lvl>
  </w:abstractNum>
  <w:num w:numId="1">
    <w:abstractNumId w:val="1"/>
    <w:lvlOverride w:ilvl="0">
      <w:startOverride w:val="1"/>
    </w:lvlOverride>
  </w:num>
  <w:num w:numId="2">
    <w:abstractNumId w:val="2"/>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Arial" w:cs="Arial" w:eastAsia="Arial" w:hAnsi="Arial"/>
        <w:color w:val="1A1A2E"/>
        <w:sz w:val="22"/>
        <w:szCs w:val="22"/>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 w:type="paragraph" w:styleId="Heading1">
    <w:name w:val="Heading 1"/>
    <w:basedOn w:val="Normal"/>
    <w:next w:val="Normal"/>
    <w:qFormat/>
    <w:rPr>
      <w:rFonts w:ascii="Arial" w:cs="Arial" w:eastAsia="Arial" w:hAnsi="Arial"/>
      <w:b/>
      <w:bCs/>
      <w:color w:val="154360"/>
      <w:sz w:val="26"/>
      <w:szCs w:val="26"/>
    </w:rPr>
  </w:style>
  <w:style w:type="paragraph" w:styleId="Heading2">
    <w:name w:val="Heading 2"/>
    <w:basedOn w:val="Normal"/>
    <w:next w:val="Normal"/>
    <w:qFormat/>
    <w:rPr>
      <w:rFonts w:ascii="Arial" w:cs="Arial" w:eastAsia="Arial" w:hAnsi="Arial"/>
      <w:b/>
      <w:bCs/>
      <w:color w:val="1B4F72"/>
      <w:sz w:val="22"/>
      <w:szCs w:val="22"/>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header" Target="header1.xml"/><Relationship Id="rId8" Type="http://schemas.openxmlformats.org/officeDocument/2006/relationships/footer" Target="footer1.xml"/><Relationship Id="rId9" Type="http://schemas.openxmlformats.org/officeDocument/2006/relationships/image" Target="media/8d29c19467000777720b1133f971811d85354e99.png"/><Relationship Id="rId10"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
</file>

<file path=word/_rels/footnotes.xml.rels><?xml version="1.0" encoding="UTF-8"?><Relationships xmlns="http://schemas.openxmlformats.org/package/2006/relationships"/>
</file>

<file path=word/_rels/header1.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21st Century ROAD to Housing Act — leadership memo (Veterans &amp; Homelessness Programs)</dc:title>
  <dc:creator>AI Housers</dc:creator>
  <dc:description>Independent, plain-language explainer prepared by AI Housers (Houser Technologies LLC). Not legal, compliance, or financial advice; not affiliated with HUD, USDA, Congress, or any agency. Every fact traces to a primary or authoritative source; confirm against the enacted text and official agency guidance before acting.</dc:description>
  <cp:lastModifiedBy>Un-named</cp:lastModifiedBy>
  <cp:revision>1</cp:revision>
  <dcterms:created xsi:type="dcterms:W3CDTF">2026-08-30T00:40:25.924Z</dcterms:created>
  <dcterms:modified xsi:type="dcterms:W3CDTF">2026-08-30T00:40:25.924Z</dcterms:modified>
</cp:coreProperties>
</file>

<file path=docProps/custom.xml><?xml version="1.0" encoding="utf-8"?>
<Properties xmlns="http://schemas.openxmlformats.org/officeDocument/2006/custom-properties" xmlns:vt="http://schemas.openxmlformats.org/officeDocument/2006/docPropsVTypes"/>
</file>