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Prepared from aihousers.com/road-to-housing</w:t>
      </w:r>
    </w:p>
    <w:p>
      <w:pPr>
        <w:spacing w:after="140" w:before="200"/>
      </w:pPr>
      <w:r>
        <w:rPr>
          <w:rFonts w:ascii="Arial" w:cs="Arial" w:eastAsia="Arial" w:hAnsi="Arial"/>
          <w:b/>
          <w:bCs/>
          <w:color w:val="154360"/>
          <w:spacing w:val="40"/>
          <w:sz w:val="40"/>
          <w:szCs w:val="40"/>
        </w:rPr>
        <w:t xml:space="preserve">MEMORANDUM</w:t>
      </w:r>
    </w:p>
    <w:p>
      <w:pPr>
        <w:tabs>
          <w:tab w:val="left" w:pos="1100"/>
        </w:tabs>
        <w:spacing w:after="40" w:line="276"/>
        <w:ind w:left="1100" w:hanging="1100"/>
      </w:pPr>
      <w:r>
        <w:rPr>
          <w:rFonts w:ascii="Arial" w:cs="Arial" w:eastAsia="Arial" w:hAnsi="Arial"/>
          <w:b/>
          <w:bCs/>
          <w:color w:val="154360"/>
          <w:sz w:val="22"/>
          <w:szCs w:val="22"/>
        </w:rPr>
        <w:t xml:space="preserve">TO:	</w:t>
      </w:r>
      <w:r>
        <w:rPr>
          <w:rFonts w:ascii="Arial" w:cs="Arial" w:eastAsia="Arial" w:hAnsi="Arial"/>
          <w:color w:val="1A1A2E"/>
          <w:sz w:val="22"/>
          <w:szCs w:val="22"/>
        </w:rPr>
        <w:t xml:space="preserve">[Board / Leadership Team]</w:t>
      </w:r>
    </w:p>
    <w:p>
      <w:pPr>
        <w:tabs>
          <w:tab w:val="left" w:pos="1100"/>
        </w:tabs>
        <w:spacing w:after="40" w:line="276"/>
        <w:ind w:left="1100" w:hanging="1100"/>
      </w:pPr>
      <w:r>
        <w:rPr>
          <w:rFonts w:ascii="Arial" w:cs="Arial" w:eastAsia="Arial" w:hAnsi="Arial"/>
          <w:b/>
          <w:bCs/>
          <w:color w:val="154360"/>
          <w:sz w:val="22"/>
          <w:szCs w:val="22"/>
        </w:rPr>
        <w:t xml:space="preserve">FROM:	</w:t>
      </w:r>
      <w:r>
        <w:rPr>
          <w:rFonts w:ascii="Arial" w:cs="Arial" w:eastAsia="Arial" w:hAnsi="Arial"/>
          <w:color w:val="1A1A2E"/>
          <w:sz w:val="22"/>
          <w:szCs w:val="22"/>
        </w:rPr>
        <w:t xml:space="preserve">[Name, Title]</w:t>
      </w:r>
    </w:p>
    <w:p>
      <w:pPr>
        <w:tabs>
          <w:tab w:val="left" w:pos="1100"/>
        </w:tabs>
        <w:spacing w:after="40" w:line="276"/>
        <w:ind w:left="1100" w:hanging="1100"/>
      </w:pPr>
      <w:r>
        <w:rPr>
          <w:rFonts w:ascii="Arial" w:cs="Arial" w:eastAsia="Arial" w:hAnsi="Arial"/>
          <w:b/>
          <w:bCs/>
          <w:color w:val="154360"/>
          <w:sz w:val="22"/>
          <w:szCs w:val="22"/>
        </w:rPr>
        <w:t xml:space="preserve">DATE:	</w:t>
      </w:r>
      <w:r>
        <w:rPr>
          <w:rFonts w:ascii="Arial" w:cs="Arial" w:eastAsia="Arial" w:hAnsi="Arial"/>
          <w:color w:val="1A1A2E"/>
          <w:sz w:val="22"/>
          <w:szCs w:val="22"/>
        </w:rPr>
        <w:t xml:space="preserve">[Date]</w:t>
      </w:r>
    </w:p>
    <w:p>
      <w:pPr>
        <w:tabs>
          <w:tab w:val="left" w:pos="1100"/>
        </w:tabs>
        <w:spacing w:after="0" w:line="276"/>
        <w:ind w:left="1100" w:hanging="1100"/>
      </w:pPr>
      <w:r>
        <w:rPr>
          <w:rFonts w:ascii="Arial" w:cs="Arial" w:eastAsia="Arial" w:hAnsi="Arial"/>
          <w:b/>
          <w:bCs/>
          <w:color w:val="154360"/>
          <w:sz w:val="22"/>
          <w:szCs w:val="22"/>
        </w:rPr>
        <w:t xml:space="preserve">RE:	</w:t>
      </w:r>
      <w:r>
        <w:rPr>
          <w:rFonts w:ascii="Arial" w:cs="Arial" w:eastAsia="Arial" w:hAnsi="Arial"/>
          <w:color w:val="1A1A2E"/>
          <w:sz w:val="22"/>
          <w:szCs w:val="22"/>
        </w:rPr>
        <w:t xml:space="preserve">What the 21st Century ROAD to Housing Act means for [Agency Name] (Rural &amp; Tribal Housing)</w:t>
      </w:r>
    </w:p>
    <w:p>
      <w:pPr>
        <w:pBdr>
          <w:bottom w:val="single" w:color="DDE3EA" w:sz="4" w:space="6"/>
        </w:pBdr>
        <w:spacing w:after="160"/>
      </w:pPr>
      <w:r>
        <w:rPr>
          <w:rFonts w:ascii="Arial" w:cs="Arial" w:eastAsia="Arial" w:hAnsi="Arial"/>
          <w:color w:val="1A1A2E"/>
          <w:sz w:val="4"/>
          <w:szCs w:val="4"/>
        </w:rPr>
        <w:t xml:space="preserve"/>
      </w:r>
    </w:p>
    <w:p>
      <w:pPr>
        <w:pStyle w:val="Heading1"/>
        <w:keepNext/>
        <w:spacing w:after="100" w:before="280" w:line="276"/>
      </w:pPr>
      <w:r>
        <w:rPr>
          <w:rFonts w:ascii="Arial" w:cs="Arial" w:eastAsia="Arial" w:hAnsi="Arial"/>
          <w:b/>
          <w:bCs/>
          <w:color w:val="154360"/>
          <w:sz w:val="26"/>
          <w:szCs w:val="26"/>
        </w:rPr>
        <w:t xml:space="preserve">1. Bottom line</w:t>
      </w:r>
    </w:p>
    <w:p>
      <w:pPr>
        <w:spacing w:after="120" w:line="336"/>
      </w:pPr>
      <w:r>
        <w:rPr>
          <w:rFonts w:ascii="Arial" w:cs="Arial" w:eastAsia="Arial" w:hAnsi="Arial"/>
          <w:b/>
          <w:bCs/>
          <w:color w:val="154360"/>
          <w:sz w:val="22"/>
          <w:szCs w:val="22"/>
        </w:rPr>
        <w:t xml:space="preserve">Section 502 permanently preserves rental assistance in maturing USDA Section 515 properties, opens Section 504 repair loans to low-income homeowners with promissory-note-only security up to $15,000, and modernizes 502 loans; tribes gain eligibility across several programs but there is no NAHASDA reauthorization.</w:t>
      </w:r>
    </w:p>
    <w:p>
      <w:pPr>
        <w:spacing w:after="120" w:line="336"/>
      </w:pPr>
      <w:r>
        <w:rPr>
          <w:rFonts w:ascii="Arial" w:cs="Arial" w:eastAsia="Arial" w:hAnsi="Arial"/>
          <w:color w:val="1A1A2E"/>
          <w:sz w:val="22"/>
          <w:szCs w:val="22"/>
        </w:rPr>
        <w:t xml:space="preserve">For rural housing, Section 502 (the Rural Housing Service Reform Act) is the headline.  It creates a permanent Housing Preservation and Revitalization program (new Housing Act Section 545) with annual maturing-loan notices to owners and two-year notices to tenants, loan restructuring tools, 20-year rental-assistance renewals, and — when restructuring is infeasible — decoupled rental assistance for 20 years even after the loan pays off.</w:t>
      </w:r>
    </w:p>
    <w:p>
      <w:pPr>
        <w:pStyle w:val="Heading1"/>
        <w:keepNext/>
        <w:spacing w:after="100" w:before="280" w:line="276"/>
      </w:pPr>
      <w:r>
        <w:rPr>
          <w:rFonts w:ascii="Arial" w:cs="Arial" w:eastAsia="Arial" w:hAnsi="Arial"/>
          <w:b/>
          <w:bCs/>
          <w:color w:val="154360"/>
          <w:sz w:val="26"/>
          <w:szCs w:val="26"/>
        </w:rPr>
        <w:t xml:space="preserve">2. What the law is</w:t>
      </w:r>
    </w:p>
    <w:p>
      <w:pPr>
        <w:pStyle w:val="ListParagraph"/>
        <w:numPr>
          <w:ilvl w:val="0"/>
          <w:numId w:val="2"/>
        </w:numPr>
        <w:spacing w:after="60" w:line="336"/>
      </w:pPr>
      <w:r>
        <w:rPr>
          <w:rFonts w:ascii="Arial" w:cs="Arial" w:eastAsia="Arial" w:hAnsi="Arial"/>
          <w:color w:val="1A1A2E"/>
          <w:sz w:val="22"/>
          <w:szCs w:val="22"/>
        </w:rPr>
        <w:t xml:space="preserve">21st Century ROAD to Housing Act — H.R. 6644 (119th Congress), Public Law 119-101. </w:t>
      </w:r>
      <w:r>
        <w:rPr>
          <w:rFonts w:ascii="Arial" w:cs="Arial" w:eastAsia="Arial" w:hAnsi="Arial"/>
          <w:color w:val="1A1A2E"/>
          <w:sz w:val="22"/>
          <w:szCs w:val="22"/>
        </w:rPr>
        <w:t xml:space="preserve">Enacted July 11, 2026 — became law without the President’s signature.</w:t>
      </w:r>
    </w:p>
    <w:p>
      <w:pPr>
        <w:pStyle w:val="ListParagraph"/>
        <w:numPr>
          <w:ilvl w:val="0"/>
          <w:numId w:val="2"/>
        </w:numPr>
        <w:spacing w:after="60" w:line="336"/>
      </w:pPr>
      <w:r>
        <w:rPr>
          <w:rFonts w:ascii="Arial" w:cs="Arial" w:eastAsia="Arial" w:hAnsi="Arial"/>
          <w:color w:val="1A1A2E"/>
          <w:sz w:val="22"/>
          <w:szCs w:val="22"/>
        </w:rPr>
        <w:t xml:space="preserve">12 titles and 60 sections (Sec. 1 plus Secs. 101–1202), reforming how existing HUD, USDA, FHA, and VA housing programs run.</w:t>
      </w:r>
    </w:p>
    <w:p>
      <w:pPr>
        <w:pStyle w:val="ListParagraph"/>
        <w:numPr>
          <w:ilvl w:val="0"/>
          <w:numId w:val="2"/>
        </w:numPr>
        <w:spacing w:after="60" w:line="336"/>
      </w:pPr>
      <w:r>
        <w:rPr>
          <w:rFonts w:ascii="Arial" w:cs="Arial" w:eastAsia="Arial" w:hAnsi="Arial"/>
          <w:color w:val="1A1A2E"/>
          <w:sz w:val="22"/>
          <w:szCs w:val="22"/>
        </w:rPr>
        <w:t xml:space="preserve">Final passage: Senate 85–5, June 22, 2026 (Vote 182); House 358–32, June 23, 2026 (Roll Call 224) — cleared for the President.</w:t>
      </w:r>
    </w:p>
    <w:p>
      <w:pPr>
        <w:pStyle w:val="ListParagraph"/>
        <w:numPr>
          <w:ilvl w:val="0"/>
          <w:numId w:val="2"/>
        </w:numPr>
        <w:spacing w:after="60" w:line="336"/>
      </w:pPr>
      <w:r>
        <w:rPr>
          <w:rFonts w:ascii="Arial" w:cs="Arial" w:eastAsia="Arial" w:hAnsi="Arial"/>
          <w:color w:val="1A1A2E"/>
          <w:sz w:val="22"/>
          <w:szCs w:val="22"/>
        </w:rPr>
        <w:t xml:space="preserve">Money: the Act is mostly authorizations and reforms, not appropriations. Sec. 1202 authorizes no additional funds; the largest new authorization is the Innovation Fund at $200M / yr (Sec. 208), not yet appropriated.</w:t>
      </w:r>
    </w:p>
    <w:p>
      <w:pPr>
        <w:pStyle w:val="ListParagraph"/>
        <w:numPr>
          <w:ilvl w:val="0"/>
          <w:numId w:val="2"/>
        </w:numPr>
        <w:spacing w:after="60" w:line="336"/>
      </w:pPr>
      <w:r>
        <w:rPr>
          <w:rFonts w:ascii="Arial" w:cs="Arial" w:eastAsia="Arial" w:hAnsi="Arial"/>
          <w:color w:val="1A1A2E"/>
          <w:sz w:val="22"/>
          <w:szCs w:val="22"/>
        </w:rPr>
        <w:t xml:space="preserve">Clock: the first big deadline cluster lands Jan 7, 2027 — 180 days after enactment — investor ban takes effect; several HUD/USDA deliverables due.</w:t>
      </w:r>
    </w:p>
    <w:p>
      <w:pPr>
        <w:pStyle w:val="Heading1"/>
        <w:keepNext/>
        <w:spacing w:after="100" w:before="280" w:line="276"/>
      </w:pPr>
      <w:r>
        <w:rPr>
          <w:rFonts w:ascii="Arial" w:cs="Arial" w:eastAsia="Arial" w:hAnsi="Arial"/>
          <w:b/>
          <w:bCs/>
          <w:color w:val="154360"/>
          <w:sz w:val="26"/>
          <w:szCs w:val="26"/>
        </w:rPr>
        <w:t xml:space="preserve">3. What changes for us</w:t>
      </w:r>
    </w:p>
    <w:p>
      <w:pPr>
        <w:spacing w:after="120" w:line="336"/>
      </w:pPr>
      <w:r>
        <w:rPr>
          <w:rFonts w:ascii="Arial" w:cs="Arial" w:eastAsia="Arial" w:hAnsi="Arial"/>
          <w:color w:val="1A1A2E"/>
          <w:sz w:val="22"/>
          <w:szCs w:val="22"/>
        </w:rPr>
        <w:t xml:space="preserve">The provisions most relevant to rural &amp; tribal housing, in section order. Full plain-language summaries are on the hub.</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50"/>
        <w:gridCol w:w="3030"/>
        <w:gridCol w:w="5900"/>
      </w:tblGrid>
      <w:tr>
        <w:trPr>
          <w:cantSplit/>
          <w:tblHeader/>
        </w:trPr>
        <w:tc>
          <w:tcPr>
            <w:tcW w:type="dxa" w:w="115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Sec.</w:t>
            </w:r>
          </w:p>
        </w:tc>
        <w:tc>
          <w:tcPr>
            <w:tcW w:type="dxa" w:w="303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Provision</w:t>
            </w:r>
          </w:p>
        </w:tc>
        <w:tc>
          <w:tcPr>
            <w:tcW w:type="dxa" w:w="59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What it means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Rural Housing Service Reform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broad update of USDA Rural Housing Service programs.  Its centerpiece permanently establishes the Housing Preservation and Revitalization program (new Housing Act of 1949 §545) and lets USDA keep Section 521 rental assistance in place — for 20-year terms — even after a Section 514/515 loan matures or cannot be restructured ("decoupling").</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Exemption on Construction or Modification of Residential Housing Located on an Infill Site</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Relieves USDA of any environmental study or report when it assists construction or modification of housing on an "infill site" under its main rural housing programs (Sections 501, 502, 504, 515, 533, and 538 of the Housing Act of 1949).</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802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Streamlining Rural Housing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Targets the double environmental reviews and duplicate inspections that slow projects funded by both HUD and USDA.</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405</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Choice in Affordable Housing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Streamlines Housing Choice Voucher inspections.  A unit in a LIHTC, HOME-assisted, or USDA Rural Housing Service-assisted property that passed a physical inspection in the prior 12 months is deemed to meet HCV inspection requirements if the PHA can obtain the results; HUD may allow remote or video inspections in rural or small areas if they are thorough a…</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209</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Accelerating Home Building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HUD grants to local governments, municipal membership organizations, and Tribes to select pre-reviewed designs — "pattern books" — for small mixed-income housing types of up to 25 units (ADUs, duplexes through fourplexes, cottage courts, townhouses, multiplexes) so builders can get faster, more predictabl…</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304</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PRICE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Codifies HUD’s PRICE program as new Section 123 of the Housing and Community Development Act, captioned "Preservation and Reinvestment for Community Enhancement" (HUD’s administrative name for the program does include "Initiative"): competitive grants, subject to appropriations, to resident-owned communities, local…</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208</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Innovation Fund</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$200 million a year for FY2027–FY2031 for competitive HUD grants to metropolitan cities, urban counties, other local governments, and Tribes that can show an "objective improvement in housing supply growth" under a HUD methodology published for comment at least 90 days before each NOFO.</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Whole-Home Repairs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a HUD pilot that funds states, localities, and Tribes ("implementing organizations") to run whole-home repair programs: grants to homeowners at or below 80 percent of AMI (or income-eligible for Medicaid, CHIP, SSI, SNAP, or TANF) and loans — which may be forgivable — to small landlords for accessibility,…</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Better Use of Intergovernmental and Local Development (BUILD) Housing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Lets HUD designate any assistance it administers as a "special project" for environmental review, which allows states, localities, and — newly — federally recognized Indian Tribes to assume HUD’s NEPA responsibilities.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Reforms to Housing Counseling and Financial Literacy Programs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Rewrites the rules for HUD’s housing counseling grants.  Grantees must be geographically diverse and include organizations serving urban or rural areas, HUD must conduct performance reviews of every funded organization, and HUD may compare each pre-purchase counselor’s borrower default rates against comparable markets — with continuing education, retestin…</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501</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HOME Investment Partnerships Reauthorization and Reform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top-to-bottom modernization of HOME, the block grant that states and larger localities use for affordable rental and homeownership housing.</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909</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Rural Depositories Revitalization Study</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Two parallel studies of rural financial institutions.  The Fed, OCC and FDIC jointly — and NCUA separately for credit unions — must identify ways to improve the growth, capital adequacy and profitability of depository institutions that primarily serve rural areas, and identify federal statutes and regulations that limit those methods or the formation of n…</w:t>
            </w:r>
          </w:p>
        </w:tc>
      </w:tr>
    </w:tbl>
    <w:p>
      <w:pPr>
        <w:pStyle w:val="Heading1"/>
        <w:keepNext/>
        <w:spacing w:after="100" w:before="280" w:line="276"/>
      </w:pPr>
      <w:r>
        <w:rPr>
          <w:rFonts w:ascii="Arial" w:cs="Arial" w:eastAsia="Arial" w:hAnsi="Arial"/>
          <w:b/>
          <w:bCs/>
          <w:color w:val="154360"/>
          <w:sz w:val="26"/>
          <w:szCs w:val="26"/>
        </w:rPr>
        <w:t xml:space="preserve">4. Deadlines to calendar</w:t>
      </w:r>
    </w:p>
    <w:p>
      <w:pPr>
        <w:spacing w:after="120" w:line="336"/>
      </w:pPr>
      <w:r>
        <w:rPr>
          <w:rFonts w:ascii="Arial" w:cs="Arial" w:eastAsia="Arial" w:hAnsi="Arial"/>
          <w:color w:val="1A1A2E"/>
          <w:sz w:val="22"/>
          <w:szCs w:val="22"/>
        </w:rPr>
        <w:t xml:space="preserve">Statutory dates derived from the July 11, 2026 enactment. Dates the hub already tracks as met are not listed. “Who” is the agency the statute names; add your internal owner in the margin.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00"/>
        <w:gridCol w:w="7280"/>
        <w:gridCol w:w="1400"/>
      </w:tblGrid>
      <w:tr>
        <w:trPr>
          <w:cantSplit/>
          <w:tblHeader/>
        </w:trPr>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Date</w:t>
            </w:r>
          </w:p>
        </w:tc>
        <w:tc>
          <w:tcPr>
            <w:tcW w:type="dxa" w:w="728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Action</w:t>
            </w:r>
          </w:p>
        </w:tc>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9, 2026</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Report to House Financial Services and Senate Banking on how quickly USDA decides Section 502 and 504 loan and grant applications, with justifications for eligibility determinations that take longer than 90 days and recommendations to shorten timelines (§502(s)). (Sec. 502)</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Publish an advance notice of proposed rulemaking and consult stakeholders for the new Housing Preservation and Revitalization Program (new Housing Act of 1949 §545); an interim final rule follows by the one-year mark. (Sec. 502)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 USDA, and VA jointly report to Congress on opportunities to collaborate and reduce inefficiencies across their housing programs, including laws and regulations that get in the way (HUD-USDA-VA Interagency Coordination Act). (Sec. 801)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 and USDA sign a memorandum of understanding to evaluate categorical exclusions, designate a lead agency and streamline adoption of each other’s environmental reviews, and study a joint physical inspection process for jointly funded housing (Streamlining Rural Housing Act). (Sec. 802)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Conduct a study and publish a report to Congress on the Section 521 rental assistance and interest-subsidy program, including totals paid to Section 502 borrowers. (Sec. 502)</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Publish an interim final rule to carry out the Housing Preservation and Revitalization Program (new Housing Act of 1949 §545), following the 180-day ANPRM. (Sec. 502)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Report to Congress on how outdated Rural Housing Service technology affects program participants, and estimate the funding and staff needed to modernize it (§502(j)). (Sec. 502)</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GAO</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 and USDA jointly report to Congress with recommendations for legislative, regulatory, or administrative actions to improve efficiency of housing programs, following the 180-day MOU. (Sec. 802)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Federal banking agencies jointly report to Congress on rural depository institutions, and NCUA reports separately on rural credit unions, including de novo formation in rural areas. (Sec. 909)</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Banking regulators</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2028</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Issue regulations creating a process to adjust Rural Development (Section 542) voucher amounts after issuance following an interim or annual review, including tenant-requested recalculation after an income drop. (Sec. 502)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bl>
    <w:p>
      <w:pPr>
        <w:pStyle w:val="Heading1"/>
        <w:keepNext/>
        <w:spacing w:after="100" w:before="280" w:line="276"/>
      </w:pPr>
      <w:r>
        <w:rPr>
          <w:rFonts w:ascii="Arial" w:cs="Arial" w:eastAsia="Arial" w:hAnsi="Arial"/>
          <w:b/>
          <w:bCs/>
          <w:color w:val="154360"/>
          <w:sz w:val="26"/>
          <w:szCs w:val="26"/>
        </w:rPr>
        <w:t xml:space="preserve">5. Recommended actions</w:t>
      </w:r>
    </w:p>
    <w:p>
      <w:pPr>
        <w:spacing w:after="120" w:line="336"/>
      </w:pPr>
      <w:r>
        <w:rPr>
          <w:rFonts w:ascii="Arial" w:cs="Arial" w:eastAsia="Arial" w:hAnsi="Arial"/>
          <w:color w:val="1A1A2E"/>
          <w:sz w:val="22"/>
          <w:szCs w:val="22"/>
        </w:rPr>
        <w:t xml:space="preserve">Grouped by suggested horizon. Assign an owner and a due date to each line you keep.</w:t>
      </w:r>
    </w:p>
    <w:p>
      <w:pPr>
        <w:pStyle w:val="Heading2"/>
        <w:keepNext/>
        <w:spacing w:after="60" w:before="160" w:line="276"/>
      </w:pPr>
      <w:r>
        <w:rPr>
          <w:rFonts w:ascii="Arial" w:cs="Arial" w:eastAsia="Arial" w:hAnsi="Arial"/>
          <w:b/>
          <w:bCs/>
          <w:color w:val="1B4F72"/>
          <w:sz w:val="22"/>
          <w:szCs w:val="22"/>
        </w:rPr>
        <w:t xml:space="preserve">Now</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Update Section 504 outreach for the new authority to lend to low-income (not only very-low-income) applicants and the simpler security rule — repair loans under $15,000 (up from $7,500) need only a promissory note. Grant maximums are unchanged by the Act: USDA sets them administratively, currently $10,000, or $15,000 in Presidentially declared disaster areas. Expect USDA’s first 90-day application-timeliness report around October 9, 2026.</w:t>
      </w:r>
      <w:r>
        <w:rPr>
          <w:rFonts w:ascii="Arial" w:cs="Arial" w:eastAsia="Arial" w:hAnsi="Arial"/>
          <w:color w:val="4B5563"/>
          <w:sz w:val="18"/>
          <w:szCs w:val="18"/>
        </w:rPr>
        <w:t xml:space="preserve">  (Sec. 502)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Rural builders and USDA-assisted developers: identify infill sites (existing water, sewer and roads; not greenfield; not FEMA very-high or relatively-high wildfire or flood tracts) where Section 103 removes USDA environmental studies for 501, 502, 504, 515, 533 and 538 assistance.</w:t>
      </w:r>
      <w:r>
        <w:rPr>
          <w:rFonts w:ascii="Arial" w:cs="Arial" w:eastAsia="Arial" w:hAnsi="Arial"/>
          <w:color w:val="4B5563"/>
          <w:sz w:val="18"/>
          <w:szCs w:val="18"/>
        </w:rPr>
        <w:t xml:space="preserve">  (Sec. 103)</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Next 90 days</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Lenders and counselors: apply the new 502 guaranteed rules — original borrower released on assumption with a capped fee, ADU rental income countable for pre-enactment homes, licensed home child-care businesses no longer excluded, and direct-loan refinance or modification up to 40 years.</w:t>
      </w:r>
      <w:r>
        <w:rPr>
          <w:rFonts w:ascii="Arial" w:cs="Arial" w:eastAsia="Arial" w:hAnsi="Arial"/>
          <w:color w:val="4B5563"/>
          <w:sz w:val="18"/>
          <w:szCs w:val="18"/>
        </w:rPr>
        <w:t xml:space="preserve">  (Sec. 502)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Rural PHAs: update your Administrative Plan to implement the automatic deeming of passing USDA-RHS inspection results from the prior 12 months, and add a remote or video inspection protocol to take effect if and when HUD allows it.</w:t>
      </w:r>
      <w:r>
        <w:rPr>
          <w:rFonts w:ascii="Arial" w:cs="Arial" w:eastAsia="Arial" w:hAnsi="Arial"/>
          <w:color w:val="4B5563"/>
          <w:sz w:val="18"/>
          <w:szCs w:val="18"/>
        </w:rPr>
        <w:t xml:space="preserve">  (Sec. 405)</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By end of 2026</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Owners, nonprofits and HFAs with Section 514/515 properties: list every loan maturing within four years and prepare for USDA’s new notice cycle, restructuring menu, and 20-year rental-assistance renewals or decoupled contracts.</w:t>
      </w:r>
      <w:r>
        <w:rPr>
          <w:rFonts w:ascii="Arial" w:cs="Arial" w:eastAsia="Arial" w:hAnsi="Arial"/>
          <w:color w:val="4B5563"/>
          <w:sz w:val="18"/>
          <w:szCs w:val="18"/>
        </w:rPr>
        <w:t xml:space="preserve">  (Sec. 502)</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In 2027</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Comment on USDA’s Section 545 ANPRM and interim final rule, and on the HUD–USDA environmental-review MOU (due about January 7, 2027) — especially on lead-agency designation, adopting each other’s reviews, and joint inspections.</w:t>
      </w:r>
      <w:r>
        <w:rPr>
          <w:rFonts w:ascii="Arial" w:cs="Arial" w:eastAsia="Arial" w:hAnsi="Arial"/>
          <w:color w:val="4B5563"/>
          <w:sz w:val="18"/>
          <w:szCs w:val="18"/>
        </w:rPr>
        <w:t xml:space="preserve">  (Sec. 502, 802)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Nonprofit and public buyers of Section 515 properties: use the new transfer flexibility (market-value appraisal, deferred rehab with long-term use restrictions) and the 25% return-on-investment cap in preservation underwriting.</w:t>
      </w:r>
      <w:r>
        <w:rPr>
          <w:rFonts w:ascii="Arial" w:cs="Arial" w:eastAsia="Arial" w:hAnsi="Arial"/>
          <w:color w:val="4B5563"/>
          <w:sz w:val="18"/>
          <w:szCs w:val="18"/>
        </w:rPr>
        <w:t xml:space="preserve">  (Sec. 502)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Rural localities and municipal leagues: prepare a pattern-book application (10% rural set-aside under Section 209) and, if a HOME PJ, note the state HOME infrastructure authority for non-CDBG jurisdictions (Section 501(e)).</w:t>
      </w:r>
      <w:r>
        <w:rPr>
          <w:rFonts w:ascii="Arial" w:cs="Arial" w:eastAsia="Arial" w:hAnsi="Arial"/>
          <w:color w:val="4B5563"/>
          <w:sz w:val="18"/>
          <w:szCs w:val="18"/>
        </w:rPr>
        <w:t xml:space="preserve">  (Sec. 209, 501)</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Watch</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Tribes and TDHEs: assess eligibility for the Innovation Fund (Section 208), Whole-Home Repairs subgrants (Section 202), PRICE manufactured-housing grants with a possible tribal and DHHL set-aside (Section 304), and RCDI capacity grants up to $500,000 (Section 502(h)); confirm whether to assume HUD environmental reviews under Section 205.</w:t>
      </w:r>
      <w:r>
        <w:rPr>
          <w:rFonts w:ascii="Arial" w:cs="Arial" w:eastAsia="Arial" w:hAnsi="Arial"/>
          <w:color w:val="4B5563"/>
          <w:sz w:val="18"/>
          <w:szCs w:val="18"/>
        </w:rPr>
        <w:t xml:space="preserve">  (Sec. 208, 202, 304, 502, 205)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Rural banks and credit unions: watch the Section 909 rural-depository studies (due by July 11, 2027) and the mentor-protégé program for rural institutions under $10 billion (Section 906).</w:t>
      </w:r>
      <w:r>
        <w:rPr>
          <w:rFonts w:ascii="Arial" w:cs="Arial" w:eastAsia="Arial" w:hAnsi="Arial"/>
          <w:color w:val="4B5563"/>
          <w:sz w:val="18"/>
          <w:szCs w:val="18"/>
        </w:rPr>
        <w:t xml:space="preserve">  (Sec. 909, 906)</w:t>
      </w:r>
      <w:r>
        <w:rPr>
          <w:rFonts w:ascii="Arial" w:cs="Arial" w:eastAsia="Arial" w:hAnsi="Arial"/>
          <w:color w:val="A66A15"/>
          <w:sz w:val="18"/>
          <w:szCs w:val="18"/>
        </w:rPr>
        <w:t xml:space="preserve">  [Owner]  [Due]</w:t>
      </w:r>
    </w:p>
    <w:p>
      <w:pPr>
        <w:pStyle w:val="Heading1"/>
        <w:keepNext/>
        <w:spacing w:after="100" w:before="280" w:line="276"/>
      </w:pPr>
      <w:r>
        <w:rPr>
          <w:rFonts w:ascii="Arial" w:cs="Arial" w:eastAsia="Arial" w:hAnsi="Arial"/>
          <w:b/>
          <w:bCs/>
          <w:color w:val="154360"/>
          <w:sz w:val="26"/>
          <w:szCs w:val="26"/>
        </w:rPr>
        <w:t xml:space="preserve">6. Watch-outs</w:t>
      </w:r>
    </w:p>
    <w:p>
      <w:pPr>
        <w:pStyle w:val="ListParagraph"/>
        <w:numPr>
          <w:ilvl w:val="0"/>
          <w:numId w:val="2"/>
        </w:numPr>
        <w:spacing w:after="60" w:line="336"/>
      </w:pPr>
      <w:r>
        <w:rPr>
          <w:rFonts w:ascii="Arial" w:cs="Arial" w:eastAsia="Arial" w:hAnsi="Arial"/>
          <w:color w:val="1A1A2E"/>
          <w:sz w:val="22"/>
          <w:szCs w:val="22"/>
        </w:rPr>
        <w:t xml:space="preserve">No tribal title, no NAHASDA reauthorization, no Section 184 changes; NAIHC is pushing the separate NAHASDA Modernization Act.</w:t>
      </w:r>
    </w:p>
    <w:p>
      <w:pPr>
        <w:pStyle w:val="ListParagraph"/>
        <w:numPr>
          <w:ilvl w:val="0"/>
          <w:numId w:val="2"/>
        </w:numPr>
        <w:spacing w:after="60" w:line="336"/>
      </w:pPr>
      <w:r>
        <w:rPr>
          <w:rFonts w:ascii="Arial" w:cs="Arial" w:eastAsia="Arial" w:hAnsi="Arial"/>
          <w:color w:val="1A1A2E"/>
          <w:sz w:val="22"/>
          <w:szCs w:val="22"/>
        </w:rPr>
        <w:t xml:space="preserve">USDA staffing and IT: Section 502(c)–(d) lets USDA use appropriated funds for staffing and systems, but no amount is authorized; a GAO report on RHS technology is due within a year.</w:t>
      </w:r>
    </w:p>
    <w:p>
      <w:pPr>
        <w:pStyle w:val="ListParagraph"/>
        <w:numPr>
          <w:ilvl w:val="0"/>
          <w:numId w:val="2"/>
        </w:numPr>
        <w:spacing w:after="60" w:line="336"/>
      </w:pPr>
      <w:r>
        <w:rPr>
          <w:rFonts w:ascii="Arial" w:cs="Arial" w:eastAsia="Arial" w:hAnsi="Arial"/>
          <w:color w:val="1A1A2E"/>
          <w:sz w:val="22"/>
          <w:szCs w:val="22"/>
        </w:rPr>
        <w:t xml:space="preserve">RA renewals and decoupling are "subject to annual appropriations" — the authority is permanent, the money is not.</w:t>
      </w:r>
    </w:p>
    <w:p>
      <w:pPr>
        <w:pStyle w:val="ListParagraph"/>
        <w:numPr>
          <w:ilvl w:val="0"/>
          <w:numId w:val="2"/>
        </w:numPr>
        <w:spacing w:after="60" w:line="336"/>
      </w:pPr>
      <w:r>
        <w:rPr>
          <w:rFonts w:ascii="Arial" w:cs="Arial" w:eastAsia="Arial" w:hAnsi="Arial"/>
          <w:color w:val="1A1A2E"/>
          <w:sz w:val="22"/>
          <w:szCs w:val="22"/>
        </w:rPr>
        <w:t xml:space="preserve">A Senate provision setting aside 60% of certain rural funds for very-low-income households was dropped in the final text.</w:t>
      </w:r>
    </w:p>
    <w:p>
      <w:pPr>
        <w:pStyle w:val="ListParagraph"/>
        <w:numPr>
          <w:ilvl w:val="0"/>
          <w:numId w:val="2"/>
        </w:numPr>
        <w:spacing w:after="60" w:line="336"/>
      </w:pPr>
      <w:r>
        <w:rPr>
          <w:rFonts w:ascii="Arial" w:cs="Arial" w:eastAsia="Arial" w:hAnsi="Arial"/>
          <w:color w:val="1A1A2E"/>
          <w:sz w:val="22"/>
          <w:szCs w:val="22"/>
        </w:rPr>
        <w:t xml:space="preserve">Section 207 planning grants list states, insular areas, metro cities, urban counties and regional planning agencies — not tribes — as eligible entities.</w:t>
      </w:r>
    </w:p>
    <w:p>
      <w:pPr>
        <w:pStyle w:val="Heading1"/>
        <w:keepNext/>
        <w:spacing w:after="100" w:before="280" w:line="276"/>
      </w:pPr>
      <w:r>
        <w:rPr>
          <w:rFonts w:ascii="Arial" w:cs="Arial" w:eastAsia="Arial" w:hAnsi="Arial"/>
          <w:b/>
          <w:bCs/>
          <w:color w:val="154360"/>
          <w:sz w:val="26"/>
          <w:szCs w:val="26"/>
        </w:rPr>
        <w:t xml:space="preserve">7. Questions we still have</w:t>
      </w:r>
    </w:p>
    <w:p>
      <w:pPr>
        <w:keepNext/>
        <w:spacing w:after="120" w:line="336"/>
      </w:pPr>
      <w:r>
        <w:rPr>
          <w:rFonts w:ascii="Arial" w:cs="Arial" w:eastAsia="Arial" w:hAnsi="Arial"/>
          <w:color w:val="1A1A2E"/>
          <w:sz w:val="22"/>
          <w:szCs w:val="22"/>
        </w:rPr>
        <w:t xml:space="preserve">Open items the hub could not pin down as of its last review. Track them before relying on the underlying provision.</w:t>
      </w:r>
    </w:p>
    <w:p>
      <w:pPr>
        <w:pStyle w:val="ListParagraph"/>
        <w:numPr>
          <w:ilvl w:val="0"/>
          <w:numId w:val="2"/>
        </w:numPr>
        <w:spacing w:after="60" w:line="336"/>
      </w:pPr>
      <w:r>
        <w:rPr>
          <w:rFonts w:ascii="Arial" w:cs="Arial" w:eastAsia="Arial" w:hAnsi="Arial"/>
          <w:color w:val="1A1A2E"/>
          <w:sz w:val="22"/>
          <w:szCs w:val="22"/>
        </w:rPr>
        <w:t xml:space="preserve">The subject of the §502(b) USDA study — Section 502 direct-loan payment subsidies and recapture, versus Section 521 rental assistance.</w:t>
      </w:r>
    </w:p>
    <w:p>
      <w:pPr>
        <w:pStyle w:val="ListParagraph"/>
        <w:numPr>
          <w:ilvl w:val="0"/>
          <w:numId w:val="2"/>
        </w:numPr>
        <w:spacing w:after="60" w:line="336"/>
      </w:pPr>
      <w:r>
        <w:rPr>
          <w:rFonts w:ascii="Arial" w:cs="Arial" w:eastAsia="Arial" w:hAnsi="Arial"/>
          <w:color w:val="1A1A2E"/>
          <w:sz w:val="22"/>
          <w:szCs w:val="22"/>
        </w:rPr>
        <w:t xml:space="preserve">Whether HUD will treat §405 "deemed" LIHTC/HOME/RHS inspections as satisfying periodic (biennial NSPIRE-V) inspections or only initial inspections.</w:t>
      </w:r>
    </w:p>
    <w:p>
      <w:pPr>
        <w:pStyle w:val="ListParagraph"/>
        <w:numPr>
          <w:ilvl w:val="0"/>
          <w:numId w:val="2"/>
        </w:numPr>
        <w:spacing w:after="60" w:line="336"/>
      </w:pPr>
      <w:r>
        <w:rPr>
          <w:rFonts w:ascii="Arial" w:cs="Arial" w:eastAsia="Arial" w:hAnsi="Arial"/>
          <w:color w:val="1A1A2E"/>
          <w:sz w:val="22"/>
          <w:szCs w:val="22"/>
        </w:rPr>
        <w:t xml:space="preserve">Whether §209(a)(8)’s "rural area" definition means what it says.</w:t>
      </w:r>
    </w:p>
    <w:p>
      <w:pPr>
        <w:pStyle w:val="ListParagraph"/>
        <w:numPr>
          <w:ilvl w:val="0"/>
          <w:numId w:val="2"/>
        </w:numPr>
        <w:spacing w:after="60" w:line="336"/>
      </w:pPr>
      <w:r>
        <w:rPr>
          <w:rFonts w:ascii="Arial" w:cs="Arial" w:eastAsia="Arial" w:hAnsi="Arial"/>
          <w:color w:val="1A1A2E"/>
          <w:sz w:val="22"/>
          <w:szCs w:val="22"/>
        </w:rPr>
        <w:t xml:space="preserve">Whether CR-provided FY2027 budget authority counts as "appropriated after the date of enactment" for §204 (CDBG new construction) and §304 (PRICE).</w:t>
      </w:r>
    </w:p>
    <w:p>
      <w:pPr>
        <w:pStyle w:val="Heading1"/>
        <w:keepNext/>
        <w:spacing w:after="100" w:before="280" w:line="276"/>
      </w:pPr>
      <w:r>
        <w:rPr>
          <w:rFonts w:ascii="Arial" w:cs="Arial" w:eastAsia="Arial" w:hAnsi="Arial"/>
          <w:b/>
          <w:bCs/>
          <w:color w:val="154360"/>
          <w:sz w:val="26"/>
          <w:szCs w:val="26"/>
        </w:rPr>
        <w:t xml:space="preserve">8. Sources</w:t>
      </w:r>
    </w:p>
    <w:p>
      <w:pPr>
        <w:pStyle w:val="ListParagraph"/>
        <w:keepNext w:val="false"/>
        <w:numPr>
          <w:ilvl w:val="0"/>
          <w:numId w:val="2"/>
        </w:numPr>
        <w:spacing w:after="40" w:line="288"/>
      </w:pPr>
      <w:r>
        <w:rPr>
          <w:rFonts w:ascii="Arial" w:cs="Arial" w:eastAsia="Arial" w:hAnsi="Arial"/>
          <w:b/>
          <w:bCs/>
          <w:color w:val="1A1A2E"/>
          <w:sz w:val="22"/>
          <w:szCs w:val="22"/>
        </w:rPr>
        <w:t xml:space="preserve">AI Housers hub — </w:t>
      </w:r>
      <w:r>
        <w:rPr>
          <w:rFonts w:ascii="Arial" w:cs="Arial" w:eastAsia="Arial" w:hAnsi="Arial"/>
          <w:color w:val="0A66C2"/>
          <w:sz w:val="22"/>
          <w:szCs w:val="22"/>
        </w:rPr>
        <w:t xml:space="preserve">https://aihousers.com/road-to-housing/for/rural-tribal</w:t>
      </w:r>
    </w:p>
    <w:p>
      <w:pPr>
        <w:pStyle w:val="ListParagraph"/>
        <w:keepNext w:val="false"/>
        <w:numPr>
          <w:ilvl w:val="0"/>
          <w:numId w:val="2"/>
        </w:numPr>
        <w:spacing w:after="40" w:line="288"/>
      </w:pPr>
      <w:r>
        <w:rPr>
          <w:rFonts w:ascii="Arial" w:cs="Arial" w:eastAsia="Arial" w:hAnsi="Arial"/>
          <w:color w:val="1A1A2E"/>
          <w:sz w:val="22"/>
          <w:szCs w:val="22"/>
        </w:rPr>
        <w:t xml:space="preserve">H.R. 6644 — Enrolled bill text (21st Century ROAD to Housing Act) (GovInfo (GPO)) — </w:t>
      </w:r>
      <w:r>
        <w:rPr>
          <w:rFonts w:ascii="Arial" w:cs="Arial" w:eastAsia="Arial" w:hAnsi="Arial"/>
          <w:color w:val="0A66C2"/>
          <w:sz w:val="16"/>
          <w:szCs w:val="16"/>
        </w:rPr>
        <w:t xml:space="preserve">https://www.govinfo.gov/content/pkg/BILLS-119hr6644enr/html/BILLS-119hr6644enr.htm</w:t>
      </w:r>
    </w:p>
    <w:p>
      <w:pPr>
        <w:pStyle w:val="ListParagraph"/>
        <w:keepNext w:val="false"/>
        <w:numPr>
          <w:ilvl w:val="0"/>
          <w:numId w:val="2"/>
        </w:numPr>
        <w:spacing w:after="40" w:line="288"/>
      </w:pPr>
      <w:r>
        <w:rPr>
          <w:rFonts w:ascii="Arial" w:cs="Arial" w:eastAsia="Arial" w:hAnsi="Arial"/>
          <w:color w:val="1A1A2E"/>
          <w:sz w:val="22"/>
          <w:szCs w:val="22"/>
        </w:rPr>
        <w:t xml:space="preserve">BPC — What’s in the 21st Century ROAD to Housing Act? (Bipartisan Policy Center) — </w:t>
      </w:r>
      <w:r>
        <w:rPr>
          <w:rFonts w:ascii="Arial" w:cs="Arial" w:eastAsia="Arial" w:hAnsi="Arial"/>
          <w:color w:val="0A66C2"/>
          <w:sz w:val="16"/>
          <w:szCs w:val="16"/>
        </w:rPr>
        <w:t xml:space="preserve">https://bipartisanpolicy.org/explainer/whats-in-the-21st-century-road-to-housing-act/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BPC — 21st Century ROAD to Housing Act Implementation Tracker (Bipartisan Policy Center) — </w:t>
      </w:r>
      <w:r>
        <w:rPr>
          <w:rFonts w:ascii="Arial" w:cs="Arial" w:eastAsia="Arial" w:hAnsi="Arial"/>
          <w:color w:val="0A66C2"/>
          <w:sz w:val="16"/>
          <w:szCs w:val="16"/>
        </w:rPr>
        <w:t xml:space="preserve">https://bipartisanpolicy.org/hub/21st-century-road-to-housing-act-implementation-tracker/</w:t>
      </w:r>
    </w:p>
    <w:p>
      <w:pPr>
        <w:pStyle w:val="ListParagraph"/>
        <w:keepNext w:val="false"/>
        <w:numPr>
          <w:ilvl w:val="0"/>
          <w:numId w:val="2"/>
        </w:numPr>
        <w:spacing w:after="40" w:line="288"/>
      </w:pPr>
      <w:r>
        <w:rPr>
          <w:rFonts w:ascii="Arial" w:cs="Arial" w:eastAsia="Arial" w:hAnsi="Arial"/>
          <w:color w:val="1A1A2E"/>
          <w:sz w:val="22"/>
          <w:szCs w:val="22"/>
        </w:rPr>
        <w:t xml:space="preserve">NLIHC — 21st Century ROAD to Housing Act: Impacts on Low-Income Households (July 2026) (National Low Income Housing Coalition) — </w:t>
      </w:r>
      <w:r>
        <w:rPr>
          <w:rFonts w:ascii="Arial" w:cs="Arial" w:eastAsia="Arial" w:hAnsi="Arial"/>
          <w:color w:val="0A66C2"/>
          <w:sz w:val="16"/>
          <w:szCs w:val="16"/>
        </w:rPr>
        <w:t xml:space="preserve">https://nlihc.org/sites/default/files/ROAD_Impacts_071026.pdf</w:t>
      </w:r>
    </w:p>
    <w:p>
      <w:pPr>
        <w:pStyle w:val="ListParagraph"/>
        <w:keepNext w:val="false"/>
        <w:numPr>
          <w:ilvl w:val="0"/>
          <w:numId w:val="2"/>
        </w:numPr>
        <w:spacing w:after="40" w:line="288"/>
      </w:pPr>
      <w:r>
        <w:rPr>
          <w:rFonts w:ascii="Arial" w:cs="Arial" w:eastAsia="Arial" w:hAnsi="Arial"/>
          <w:color w:val="1A1A2E"/>
          <w:sz w:val="22"/>
          <w:szCs w:val="22"/>
        </w:rPr>
        <w:t xml:space="preserve">Fact sheet — families, veterans, rural communities (Senate Banking Committee) — </w:t>
      </w:r>
      <w:r>
        <w:rPr>
          <w:rFonts w:ascii="Arial" w:cs="Arial" w:eastAsia="Arial" w:hAnsi="Arial"/>
          <w:color w:val="0A66C2"/>
          <w:sz w:val="16"/>
          <w:szCs w:val="16"/>
        </w:rPr>
        <w:t xml:space="preserve">https://www.banking.senate.gov/imo/media/doc/road_families_vets_rural.pdf</w:t>
      </w:r>
    </w:p>
    <w:p>
      <w:pPr>
        <w:pStyle w:val="ListParagraph"/>
        <w:keepNext w:val="false"/>
        <w:numPr>
          <w:ilvl w:val="0"/>
          <w:numId w:val="2"/>
        </w:numPr>
        <w:spacing w:after="40" w:line="288"/>
      </w:pPr>
      <w:r>
        <w:rPr>
          <w:rFonts w:ascii="Arial" w:cs="Arial" w:eastAsia="Arial" w:hAnsi="Arial"/>
          <w:color w:val="1A1A2E"/>
          <w:sz w:val="22"/>
          <w:szCs w:val="22"/>
        </w:rPr>
        <w:t xml:space="preserve">HUD proposed rule — Revising the Definition of “Manufactured Home” to Lower Housing Costs (HUD / Federal Register) — </w:t>
      </w:r>
      <w:r>
        <w:rPr>
          <w:rFonts w:ascii="Arial" w:cs="Arial" w:eastAsia="Arial" w:hAnsi="Arial"/>
          <w:color w:val="0A66C2"/>
          <w:sz w:val="16"/>
          <w:szCs w:val="16"/>
        </w:rPr>
        <w:t xml:space="preserve">https://www.federalregister.gov/documents/2026/06/12/2026-11851/revising-the-definition-of-manufactured-home-to-lower-housing-costs</w:t>
      </w:r>
    </w:p>
    <w:p>
      <w:pPr>
        <w:pStyle w:val="ListParagraph"/>
        <w:keepNext w:val="false"/>
        <w:numPr>
          <w:ilvl w:val="0"/>
          <w:numId w:val="2"/>
        </w:numPr>
        <w:spacing w:after="40" w:line="288"/>
      </w:pPr>
      <w:r>
        <w:rPr>
          <w:rFonts w:ascii="Arial" w:cs="Arial" w:eastAsia="Arial" w:hAnsi="Arial"/>
          <w:color w:val="1A1A2E"/>
          <w:sz w:val="22"/>
          <w:szCs w:val="22"/>
        </w:rPr>
        <w:t xml:space="preserve">NLIHC — “ROAD to Housing Act” becomes law; new resource available (National Low Income Housing Coalition) — </w:t>
      </w:r>
      <w:r>
        <w:rPr>
          <w:rFonts w:ascii="Arial" w:cs="Arial" w:eastAsia="Arial" w:hAnsi="Arial"/>
          <w:color w:val="0A66C2"/>
          <w:sz w:val="16"/>
          <w:szCs w:val="16"/>
        </w:rPr>
        <w:t xml:space="preserve">https://nlihc.org/resource/21st-century-road-housing-act-becomes-law-new-nlihc-resource-available</w:t>
      </w:r>
    </w:p>
    <w:p>
      <w:pPr>
        <w:pStyle w:val="ListParagraph"/>
        <w:keepNext/>
        <w:numPr>
          <w:ilvl w:val="0"/>
          <w:numId w:val="2"/>
        </w:numPr>
        <w:spacing w:after="40" w:line="288"/>
      </w:pPr>
      <w:r>
        <w:rPr>
          <w:rFonts w:ascii="Arial" w:cs="Arial" w:eastAsia="Arial" w:hAnsi="Arial"/>
          <w:color w:val="1A1A2E"/>
          <w:sz w:val="22"/>
          <w:szCs w:val="22"/>
        </w:rPr>
        <w:t xml:space="preserve">NAIHC — The 21st Century ROAD to Housing Act is now law: what it means for tribal housing (National American Indian Housing Council) — </w:t>
      </w:r>
      <w:r>
        <w:rPr>
          <w:rFonts w:ascii="Arial" w:cs="Arial" w:eastAsia="Arial" w:hAnsi="Arial"/>
          <w:color w:val="0A66C2"/>
          <w:sz w:val="16"/>
          <w:szCs w:val="16"/>
        </w:rPr>
        <w:t xml:space="preserve">https://naihc.net/the-21st-century-road-to-housing-act-is-now-law/</w:t>
      </w:r>
    </w:p>
    <w:p>
      <w:pPr>
        <w:pStyle w:val="ListParagraph"/>
        <w:keepNext/>
        <w:numPr>
          <w:ilvl w:val="0"/>
          <w:numId w:val="2"/>
        </w:numPr>
        <w:spacing w:after="40" w:line="288"/>
      </w:pPr>
      <w:r>
        <w:rPr>
          <w:rFonts w:ascii="Arial" w:cs="Arial" w:eastAsia="Arial" w:hAnsi="Arial"/>
          <w:color w:val="1A1A2E"/>
          <w:sz w:val="22"/>
          <w:szCs w:val="22"/>
        </w:rPr>
        <w:t xml:space="preserve">Enterprise — A Step Forward for Rural America (Enterprise Community Partners) — </w:t>
      </w:r>
      <w:r>
        <w:rPr>
          <w:rFonts w:ascii="Arial" w:cs="Arial" w:eastAsia="Arial" w:hAnsi="Arial"/>
          <w:color w:val="0A66C2"/>
          <w:sz w:val="16"/>
          <w:szCs w:val="16"/>
        </w:rPr>
        <w:t xml:space="preserve">https://www.enterprisecommunity.org/story/21st-century-road-housing-act-step-forward-rural-america</w:t>
      </w:r>
    </w:p>
    <w:p>
      <w:pPr>
        <w:keepNext/>
        <w:pBdr>
          <w:top w:val="single" w:color="DDE3EA" w:sz="4" w:space="8"/>
        </w:pBdr>
        <w:spacing w:after="80" w:before="140" w:line="336"/>
      </w:pPr>
      <w:r>
        <w:rPr>
          <w:rFonts w:ascii="Arial" w:cs="Arial" w:eastAsia="Arial" w:hAnsi="Arial"/>
          <w:b/>
          <w:bCs/>
          <w:i/>
          <w:iCs/>
          <w:color w:val="154360"/>
          <w:sz w:val="22"/>
          <w:szCs w:val="22"/>
        </w:rPr>
        <w:t xml:space="preserve">Make it yours: </w:t>
      </w:r>
      <w:r>
        <w:rPr>
          <w:rFonts w:ascii="Arial" w:cs="Arial" w:eastAsia="Arial" w:hAnsi="Arial"/>
          <w:i/>
          <w:iCs/>
          <w:color w:val="1A1A2E"/>
          <w:sz w:val="22"/>
          <w:szCs w:val="22"/>
        </w:rPr>
        <w:t xml:space="preserve">replace the bracketed placeholders, trim rows that don’t apply, and add your local numbers.</w:t>
      </w:r>
    </w:p>
    <w:p>
      <w:pPr>
        <w:keepNext/>
        <w:spacing w:after="6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keepNext/>
        <w:spacing w:after="60" w:line="252"/>
      </w:pPr>
      <w:r>
        <w:rPr>
          <w:rFonts w:ascii="Arial" w:cs="Arial" w:eastAsia="Arial" w:hAnsi="Arial"/>
          <w:color w:val="4B5563"/>
          <w:sz w:val="17"/>
          <w:szCs w:val="17"/>
        </w:rPr>
        <w:t xml:space="preserve">Prepared from aihousers.com/road-to-housing · content reviewed August 29, 2026</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Houser Technologies LLC d/b/a AI Housers · aihousers.com · Not legal, compliance, or financial advice.</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Rural &amp; Tribal Housing · Leadership memo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ROAD to Housing Act — leadership memo (Rural &amp; Tribal Housing)</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dc:description>
  <cp:lastModifiedBy>Un-named</cp:lastModifiedBy>
  <cp:revision>1</cp:revision>
  <dcterms:created xsi:type="dcterms:W3CDTF">2026-08-30T00:40:00.145Z</dcterms:created>
  <dcterms:modified xsi:type="dcterms:W3CDTF">2026-08-30T00:40:00.145Z</dcterms:modified>
</cp:coreProperties>
</file>

<file path=docProps/custom.xml><?xml version="1.0" encoding="utf-8"?>
<Properties xmlns="http://schemas.openxmlformats.org/officeDocument/2006/custom-properties" xmlns:vt="http://schemas.openxmlformats.org/officeDocument/2006/docPropsVTypes"/>
</file>