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1685925" cy="457200"/>
            <wp:effectExtent t="0" r="0" b="0" l="0"/>
            <wp:docPr id="1" name="AI Housers logo" descr="AI Housers — Houser Technologies LLC" title="AI Ho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685925" cy="457200"/>
                    </a:xfrm>
                    <a:prstGeom prst="rect">
                      <a:avLst/>
                    </a:prstGeom>
                  </pic:spPr>
                </pic:pic>
              </a:graphicData>
            </a:graphic>
          </wp:inline>
        </w:drawing>
      </w:r>
    </w:p>
    <w:p>
      <w:pPr>
        <w:pBdr>
          <w:bottom w:val="single" w:color="154360" w:sz="6" w:space="4"/>
        </w:pBdr>
        <w:spacing w:after="0" w:before="60"/>
      </w:pPr>
      <w:r>
        <w:rPr>
          <w:rFonts w:ascii="Arial" w:cs="Arial" w:eastAsia="Arial" w:hAnsi="Arial"/>
          <w:color w:val="4B5563"/>
          <w:sz w:val="17"/>
          <w:szCs w:val="17"/>
        </w:rPr>
        <w:t xml:space="preserve">Model document · Prepared from aihousers.com/road-to-housing</w:t>
      </w:r>
    </w:p>
    <w:p>
      <w:pPr>
        <w:spacing w:after="200" w:before="0"/>
      </w:pPr>
      <w:r>
        <w:rPr>
          <w:rFonts w:ascii="Arial" w:cs="Arial" w:eastAsia="Arial" w:hAnsi="Arial"/>
          <w:color w:val="1A1A2E"/>
          <w:sz w:val="4"/>
          <w:szCs w:val="4"/>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B42318" w:sz="24"/>
              <w:bottom w:val="single" w:color="DDE3EA" w:sz="4"/>
              <w:right w:val="single" w:color="DDE3EA" w:sz="4"/>
            </w:tcBorders>
            <w:shd w:fill="FDECEC" w:color="auto" w:val="clear"/>
            <w:tcMar>
              <w:top w:type="dxa" w:w="140"/>
              <w:left w:type="dxa" w:w="180"/>
              <w:bottom w:type="dxa" w:w="140"/>
              <w:right w:type="dxa" w:w="180"/>
            </w:tcMar>
            <w:vAlign w:val="top"/>
          </w:tcPr>
          <w:p>
            <w:pPr>
              <w:spacing w:after="90" w:line="264"/>
            </w:pPr>
            <w:r>
              <w:rPr>
                <w:rFonts w:ascii="Arial" w:cs="Arial" w:eastAsia="Arial" w:hAnsi="Arial"/>
                <w:b/>
                <w:bCs/>
                <w:color w:val="B42318"/>
                <w:sz w:val="22"/>
                <w:szCs w:val="22"/>
              </w:rPr>
              <w:t xml:space="preserve">READ THIS FIRST — DRAFTING AID, NOT LEGAL ADVICE</w:t>
            </w:r>
          </w:p>
          <w:p>
            <w:pPr>
              <w:spacing w:after="90" w:line="276"/>
            </w:pPr>
            <w:r>
              <w:rPr>
                <w:rFonts w:ascii="Arial" w:cs="Arial" w:eastAsia="Arial" w:hAnsi="Arial"/>
                <w:color w:val="1A1A2E"/>
                <w:sz w:val="22"/>
                <w:szCs w:val="22"/>
              </w:rPr>
              <w:t xml:space="preserve">This is model language prepared by AI Housers from the enrolled text of the </w:t>
            </w:r>
            <w:r>
              <w:rPr>
                <w:rFonts w:ascii="Arial" w:cs="Arial" w:eastAsia="Arial" w:hAnsi="Arial"/>
                <w:b/>
                <w:bCs/>
                <w:color w:val="1A1A2E"/>
                <w:sz w:val="22"/>
                <w:szCs w:val="22"/>
              </w:rPr>
              <w:t xml:space="preserve">21st Century ROAD to Housing Act (H.R. 6644 (119th Congress), Public Law 119-101, enacted July 11, 2026)</w:t>
            </w:r>
            <w:r>
              <w:rPr>
                <w:rFonts w:ascii="Arial" w:cs="Arial" w:eastAsia="Arial" w:hAnsi="Arial"/>
                <w:color w:val="1A1A2E"/>
                <w:sz w:val="22"/>
                <w:szCs w:val="22"/>
              </w:rPr>
              <w:t xml:space="preserve">. It is a starting point for your own drafting. It is </w:t>
            </w:r>
            <w:r>
              <w:rPr>
                <w:rFonts w:ascii="Arial" w:cs="Arial" w:eastAsia="Arial" w:hAnsi="Arial"/>
                <w:b/>
                <w:bCs/>
                <w:color w:val="1A1A2E"/>
                <w:sz w:val="22"/>
                <w:szCs w:val="22"/>
              </w:rPr>
              <w:t xml:space="preserve">not legal advice</w:t>
            </w:r>
            <w:r>
              <w:rPr>
                <w:rFonts w:ascii="Arial" w:cs="Arial" w:eastAsia="Arial" w:hAnsi="Arial"/>
                <w:color w:val="1A1A2E"/>
                <w:sz w:val="22"/>
                <w:szCs w:val="22"/>
              </w:rPr>
              <w:t xml:space="preserve">, not a HUD-approved form, and not a substitute for the statute or for HUD guidance.</w:t>
            </w:r>
          </w:p>
          <w:p>
            <w:pPr>
              <w:spacing w:after="90" w:line="276"/>
            </w:pPr>
            <w:r>
              <w:rPr>
                <w:rFonts w:ascii="Arial" w:cs="Arial" w:eastAsia="Arial" w:hAnsi="Arial"/>
                <w:b/>
                <w:bCs/>
                <w:color w:val="1A1A2E"/>
                <w:sz w:val="22"/>
                <w:szCs w:val="22"/>
              </w:rPr>
              <w:t xml:space="preserve">Before you adopt any of it: </w:t>
            </w:r>
            <w:r>
              <w:rPr>
                <w:rFonts w:ascii="Arial" w:cs="Arial" w:eastAsia="Arial" w:hAnsi="Arial"/>
                <w:color w:val="1A1A2E"/>
                <w:sz w:val="22"/>
                <w:szCs w:val="22"/>
              </w:rPr>
              <w:t xml:space="preserve">have your agency’s counsel review it; conform it to your state and local law, your existing policies, and your own governing-document amendment process; and check it against the HUD guidance in effect on the day you adopt it.</w:t>
            </w:r>
          </w:p>
          <w:p>
            <w:pPr>
              <w:spacing w:after="0" w:line="276"/>
            </w:pPr>
            <w:r>
              <w:rPr>
                <w:rFonts w:ascii="Arial" w:cs="Arial" w:eastAsia="Arial" w:hAnsi="Arial"/>
                <w:b/>
                <w:bCs/>
                <w:color w:val="B42318"/>
                <w:sz w:val="22"/>
                <w:szCs w:val="22"/>
              </w:rPr>
              <w:t xml:space="preserve">Guidance has not issued. </w:t>
            </w:r>
            <w:r>
              <w:rPr>
                <w:rFonts w:ascii="Arial" w:cs="Arial" w:eastAsia="Arial" w:hAnsi="Arial"/>
                <w:color w:val="1A1A2E"/>
                <w:sz w:val="22"/>
                <w:szCs w:val="22"/>
              </w:rPr>
              <w:t xml:space="preserve">HUD has not issued a selection notice, an application, or any guidance for the new Moving to Work cohort, and under Sec. 505(b)(1) it may not add agencies until it completes the initial report required by Sec. 505(h)(2) — due about January 7, 2027. An unsolicited letter of interest has no standing and will not improve an agency’s position. Use this outline to assemble and check your facts internally; send nothing until HUD says how.</w:t>
            </w:r>
            <w:r>
              <w:rPr>
                <w:rFonts w:ascii="Arial" w:cs="Arial" w:eastAsia="Arial" w:hAnsi="Arial"/>
                <w:color w:val="1A1A2E"/>
                <w:sz w:val="22"/>
                <w:szCs w:val="22"/>
              </w:rPr>
              <w:t xml:space="preserve"> Content reviewed August 29, 2026; check the hub before you rely on any status statement here.</w:t>
            </w:r>
          </w:p>
        </w:tc>
      </w:tr>
    </w:tbl>
    <w:p>
      <w:pPr>
        <w:spacing w:after="40" w:before="260"/>
      </w:pPr>
      <w:r>
        <w:rPr>
          <w:rFonts w:ascii="Arial" w:cs="Arial" w:eastAsia="Arial" w:hAnsi="Arial"/>
          <w:b/>
          <w:bCs/>
          <w:color w:val="154360"/>
          <w:sz w:val="32"/>
          <w:szCs w:val="32"/>
        </w:rPr>
        <w:t xml:space="preserve">Moving to Work cohort — letter of interest outline (Sec. 505)</w:t>
      </w:r>
    </w:p>
    <w:p>
      <w:pPr>
        <w:spacing w:after="60" w:line="276"/>
      </w:pPr>
      <w:r>
        <w:rPr>
          <w:rFonts w:ascii="Arial" w:cs="Arial" w:eastAsia="Arial" w:hAnsi="Arial"/>
          <w:color w:val="1B4F72"/>
          <w:sz w:val="21"/>
          <w:szCs w:val="21"/>
        </w:rPr>
        <w:t xml:space="preserve">The eligibility facts Sec. 505 requires an agency to be able to state, arranged as a letter of interest with every agency fact in [brackets].</w:t>
      </w:r>
    </w:p>
    <w:p>
      <w:pPr>
        <w:pBdr>
          <w:bottom w:val="single" w:color="DDE3EA" w:sz="4" w:space="6"/>
        </w:pBdr>
        <w:spacing w:after="180"/>
      </w:pPr>
      <w:r>
        <w:rPr>
          <w:rFonts w:ascii="Arial" w:cs="Arial" w:eastAsia="Arial" w:hAnsi="Arial"/>
          <w:color w:val="1A1A2E"/>
          <w:sz w:val="4"/>
          <w:szCs w:val="4"/>
        </w:rPr>
        <w:t xml:space="preserve"/>
      </w:r>
    </w:p>
    <w:p>
      <w:pPr>
        <w:pStyle w:val="Heading1"/>
        <w:keepNext/>
        <w:spacing w:after="110" w:before="300" w:line="276"/>
      </w:pPr>
      <w:r>
        <w:rPr>
          <w:rFonts w:ascii="Arial" w:cs="Arial" w:eastAsia="Arial" w:hAnsi="Arial"/>
          <w:b/>
          <w:bCs/>
          <w:color w:val="154360"/>
          <w:sz w:val="26"/>
          <w:szCs w:val="26"/>
        </w:rPr>
        <w:t xml:space="preserve">How to use this document</w:t>
      </w:r>
    </w:p>
    <w:p>
      <w:pPr>
        <w:pStyle w:val="ListParagraph"/>
        <w:numPr>
          <w:ilvl w:val="0"/>
          <w:numId w:val="2"/>
        </w:numPr>
        <w:spacing w:after="60" w:line="336"/>
      </w:pPr>
      <w:r>
        <w:rPr>
          <w:rFonts w:ascii="Arial" w:cs="Arial" w:eastAsia="Arial" w:hAnsi="Arial"/>
          <w:b/>
          <w:bCs/>
          <w:color w:val="1A1A2E"/>
          <w:sz w:val="22"/>
          <w:szCs w:val="22"/>
        </w:rPr>
        <w:t xml:space="preserve">Square brackets are your decisions. </w:t>
      </w:r>
      <w:r>
        <w:rPr>
          <w:rFonts w:ascii="Arial" w:cs="Arial" w:eastAsia="Arial" w:hAnsi="Arial"/>
          <w:color w:val="1A1A2E"/>
          <w:sz w:val="22"/>
          <w:szCs w:val="22"/>
        </w:rPr>
        <w:t xml:space="preserve">Every [bracketed] passage is a choice, a local fact, or a blank the agency fills in. Delete the options you do not take; nothing should still be in brackets when you adopt it.</w:t>
      </w:r>
    </w:p>
    <w:p>
      <w:pPr>
        <w:pStyle w:val="ListParagraph"/>
        <w:numPr>
          <w:ilvl w:val="0"/>
          <w:numId w:val="2"/>
        </w:numPr>
        <w:spacing w:after="60" w:line="336"/>
      </w:pPr>
      <w:r>
        <w:rPr>
          <w:rFonts w:ascii="Arial" w:cs="Arial" w:eastAsia="Arial" w:hAnsi="Arial"/>
          <w:b/>
          <w:bCs/>
          <w:color w:val="1A1A2E"/>
          <w:sz w:val="22"/>
          <w:szCs w:val="22"/>
        </w:rPr>
        <w:t xml:space="preserve">Shaded blocks with a navy rule are the model language. </w:t>
      </w:r>
      <w:r>
        <w:rPr>
          <w:rFonts w:ascii="Arial" w:cs="Arial" w:eastAsia="Arial" w:hAnsi="Arial"/>
          <w:color w:val="1A1A2E"/>
          <w:sz w:val="22"/>
          <w:szCs w:val="22"/>
        </w:rPr>
        <w:t xml:space="preserve">That is the text to paste into your own document. The prose outside those blocks is commentary and should not be pasted.</w:t>
      </w:r>
    </w:p>
    <w:p>
      <w:pPr>
        <w:pStyle w:val="ListParagraph"/>
        <w:numPr>
          <w:ilvl w:val="0"/>
          <w:numId w:val="2"/>
        </w:numPr>
        <w:spacing w:after="60" w:line="336"/>
      </w:pPr>
      <w:r>
        <w:rPr>
          <w:rFonts w:ascii="Arial" w:cs="Arial" w:eastAsia="Arial" w:hAnsi="Arial"/>
          <w:b/>
          <w:bCs/>
          <w:color w:val="1A1A2E"/>
          <w:sz w:val="22"/>
          <w:szCs w:val="22"/>
        </w:rPr>
        <w:t xml:space="preserve">Blue blocks are the statute, quoted verbatim. </w:t>
      </w:r>
      <w:r>
        <w:rPr>
          <w:rFonts w:ascii="Arial" w:cs="Arial" w:eastAsia="Arial" w:hAnsi="Arial"/>
          <w:color w:val="1A1A2E"/>
          <w:sz w:val="22"/>
          <w:szCs w:val="22"/>
        </w:rPr>
        <w:t xml:space="preserve">They are here so you can see exactly what the model language is built on. The enrolled text is reproduced word for word, including its “--” dashes and its internal clause numbering; only the GPO typewriter quotation marks are shown as ordinary ones.</w:t>
      </w:r>
    </w:p>
    <w:p>
      <w:pPr>
        <w:pStyle w:val="ListParagraph"/>
        <w:numPr>
          <w:ilvl w:val="0"/>
          <w:numId w:val="2"/>
        </w:numPr>
        <w:spacing w:after="60" w:line="336"/>
      </w:pPr>
      <w:r>
        <w:rPr>
          <w:rFonts w:ascii="Arial" w:cs="Arial" w:eastAsia="Arial" w:hAnsi="Arial"/>
          <w:b/>
          <w:bCs/>
          <w:color w:val="1A1A2E"/>
          <w:sz w:val="22"/>
          <w:szCs w:val="22"/>
        </w:rPr>
        <w:t xml:space="preserve">Every block cites its authority. </w:t>
      </w:r>
      <w:r>
        <w:rPr>
          <w:rFonts w:ascii="Arial" w:cs="Arial" w:eastAsia="Arial" w:hAnsi="Arial"/>
          <w:color w:val="1A1A2E"/>
          <w:sz w:val="22"/>
          <w:szCs w:val="22"/>
        </w:rPr>
        <w:t xml:space="preserve">The “Authority:” line names the section of the Act and the provision of law it amends, so counsel can go straight to the source.</w:t>
      </w:r>
    </w:p>
    <w:p>
      <w:pPr>
        <w:pStyle w:val="ListParagraph"/>
        <w:numPr>
          <w:ilvl w:val="0"/>
          <w:numId w:val="2"/>
        </w:numPr>
        <w:spacing w:after="60" w:line="336"/>
      </w:pPr>
      <w:r>
        <w:rPr>
          <w:rFonts w:ascii="Arial" w:cs="Arial" w:eastAsia="Arial" w:hAnsi="Arial"/>
          <w:color w:val="1A1A2E"/>
          <w:sz w:val="22"/>
          <w:szCs w:val="22"/>
        </w:rPr>
        <w:t xml:space="preserve">Work through Part 2 first. If any of those facts is unknown or unfavourable, that — not the letter — is the thing to fix. Several of them (the size band, the foster-care comparison) depend on figures HUD has not published.</w:t>
      </w:r>
    </w:p>
    <w:p>
      <w:pPr>
        <w:pStyle w:val="Heading1"/>
        <w:keepNext/>
        <w:spacing w:after="110" w:before="300" w:line="276"/>
      </w:pPr>
      <w:r>
        <w:rPr>
          <w:rFonts w:ascii="Arial" w:cs="Arial" w:eastAsia="Arial" w:hAnsi="Arial"/>
          <w:b/>
          <w:bCs/>
          <w:color w:val="154360"/>
          <w:sz w:val="26"/>
          <w:szCs w:val="26"/>
        </w:rPr>
        <w:t xml:space="preserve">1. Heading block</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1B4F72" w:sz="24"/>
              <w:bottom w:val="single" w:color="DDE3EA" w:sz="4"/>
              <w:right w:val="single" w:color="DDE3EA" w:sz="4"/>
            </w:tcBorders>
            <w:shd w:fill="F7F9FB" w:color="auto" w:val="clear"/>
            <w:tcMar>
              <w:top w:type="dxa" w:w="140"/>
              <w:left w:type="dxa" w:w="180"/>
              <w:bottom w:type="dxa" w:w="140"/>
              <w:right w:type="dxa" w:w="180"/>
            </w:tcMar>
            <w:vAlign w:val="top"/>
          </w:tcPr>
          <w:p>
            <w:pPr>
              <w:spacing w:after="100" w:line="288"/>
            </w:pPr>
            <w:r>
              <w:rPr>
                <w:rFonts w:ascii="Arial" w:cs="Arial" w:eastAsia="Arial" w:hAnsi="Arial"/>
                <w:color w:val="1A1A2E"/>
                <w:sz w:val="22"/>
                <w:szCs w:val="22"/>
              </w:rPr>
              <w:t xml:space="preserve">[Date — do not date this until HUD publishes a selection notice]</w:t>
            </w:r>
          </w:p>
          <w:p>
            <w:pPr>
              <w:spacing w:after="100" w:line="288"/>
            </w:pPr>
            <w:r>
              <w:rPr>
                <w:rFonts w:ascii="Arial" w:cs="Arial" w:eastAsia="Arial" w:hAnsi="Arial"/>
                <w:color w:val="1A1A2E"/>
                <w:sz w:val="22"/>
                <w:szCs w:val="22"/>
              </w:rPr>
              <w:t xml:space="preserve">[Addressee: HUD has not identified the office or official that will receive expressions of interest. Leave blank until the notice names one.]</w:t>
            </w:r>
          </w:p>
          <w:p>
            <w:pPr>
              <w:spacing w:after="100" w:line="288"/>
            </w:pPr>
            <w:r>
              <w:rPr>
                <w:rFonts w:ascii="Arial" w:cs="Arial" w:eastAsia="Arial" w:hAnsi="Arial"/>
                <w:color w:val="1A1A2E"/>
                <w:sz w:val="22"/>
                <w:szCs w:val="22"/>
              </w:rPr>
              <w:t xml:space="preserve">Re: Expression of interest — Economic Opportunity and Pathways to Independence Cohort, Moving to Work demonstration (Sec. 505, 21st Century ROAD to Housing Act, Pub. L. 119-101)</w:t>
            </w:r>
          </w:p>
          <w:p>
            <w:pPr>
              <w:spacing w:after="0" w:line="288"/>
            </w:pPr>
            <w:r>
              <w:rPr>
                <w:rFonts w:ascii="Arial" w:cs="Arial" w:eastAsia="Arial" w:hAnsi="Arial"/>
                <w:color w:val="1A1A2E"/>
                <w:sz w:val="22"/>
                <w:szCs w:val="22"/>
              </w:rPr>
              <w:t xml:space="preserve">From: [Agency Name], [PHA code], [address]. Contact: [name, title, telephone, email].</w:t>
            </w:r>
          </w:p>
        </w:tc>
      </w:tr>
    </w:tbl>
    <w:p>
      <w:pPr>
        <w:spacing w:after="140" w:before="80" w:line="264"/>
      </w:pPr>
      <w:r>
        <w:rPr>
          <w:rFonts w:ascii="Arial" w:cs="Arial" w:eastAsia="Arial" w:hAnsi="Arial"/>
          <w:b/>
          <w:bCs/>
          <w:color w:val="1B4F72"/>
          <w:sz w:val="18"/>
          <w:szCs w:val="18"/>
        </w:rPr>
        <w:t xml:space="preserve">Authority: </w:t>
      </w:r>
      <w:r>
        <w:rPr>
          <w:rFonts w:ascii="Arial" w:cs="Arial" w:eastAsia="Arial" w:hAnsi="Arial"/>
          <w:color w:val="4B5563"/>
          <w:sz w:val="18"/>
          <w:szCs w:val="18"/>
        </w:rPr>
        <w:t xml:space="preserve">Cohort name from Sec. 505(b)(2), 21st Century ROAD to Housing Act, Pub. L. 119-101 (July 11, 2026).</w:t>
      </w:r>
    </w:p>
    <w:p>
      <w:pPr>
        <w:pStyle w:val="Heading1"/>
        <w:keepNext/>
        <w:spacing w:after="110" w:before="300" w:line="276"/>
      </w:pPr>
      <w:r>
        <w:rPr>
          <w:rFonts w:ascii="Arial" w:cs="Arial" w:eastAsia="Arial" w:hAnsi="Arial"/>
          <w:b/>
          <w:bCs/>
          <w:color w:val="154360"/>
          <w:sz w:val="26"/>
          <w:szCs w:val="26"/>
        </w:rPr>
        <w:t xml:space="preserve">2. Eligibility facts the agency must be able to state</w:t>
      </w:r>
    </w:p>
    <w:p>
      <w:pPr>
        <w:spacing w:after="120" w:line="336"/>
      </w:pPr>
      <w:r>
        <w:rPr>
          <w:rFonts w:ascii="Arial" w:cs="Arial" w:eastAsia="Arial" w:hAnsi="Arial"/>
          <w:color w:val="1A1A2E"/>
          <w:sz w:val="22"/>
          <w:szCs w:val="22"/>
        </w:rPr>
        <w:t xml:space="preserve">Each line below is a fact the statute makes relevant to selection. Fill in the agency’s answer, and note where the answer is not yet knowable because HUD has not published a figure or a definition.</w:t>
      </w:r>
    </w:p>
    <w:p>
      <w:pPr>
        <w:pStyle w:val="Heading2"/>
        <w:keepNext/>
        <w:spacing w:after="70" w:before="180" w:line="276"/>
      </w:pPr>
      <w:r>
        <w:rPr>
          <w:rFonts w:ascii="Arial" w:cs="Arial" w:eastAsia="Arial" w:hAnsi="Arial"/>
          <w:b/>
          <w:bCs/>
          <w:color w:val="1B4F72"/>
          <w:sz w:val="22"/>
          <w:szCs w:val="22"/>
        </w:rPr>
        <w:t xml:space="preserve">2.1 High-performer designation</w:t>
      </w:r>
    </w:p>
    <w:p>
      <w:pPr>
        <w:keepNext/>
        <w:spacing w:after="40" w:before="60" w:line="240"/>
      </w:pPr>
      <w:r>
        <w:rPr>
          <w:rFonts w:ascii="Arial" w:cs="Arial" w:eastAsia="Arial" w:hAnsi="Arial"/>
          <w:b/>
          <w:bCs/>
          <w:color w:val="A66A15"/>
          <w:spacing w:val="30"/>
          <w:sz w:val="16"/>
          <w:szCs w:val="16"/>
        </w:rPr>
        <w:t xml:space="preserve">WHAT THE STATUTE SAYS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5DADE2" w:sz="24"/>
              <w:bottom w:val="single" w:color="DDE3EA" w:sz="4"/>
              <w:right w:val="single" w:color="DDE3EA" w:sz="4"/>
            </w:tcBorders>
            <w:shd w:fill="E9F3FB" w:color="auto" w:val="clear"/>
            <w:tcMar>
              <w:top w:type="dxa" w:w="140"/>
              <w:left w:type="dxa" w:w="180"/>
              <w:bottom w:type="dxa" w:w="140"/>
              <w:right w:type="dxa" w:w="180"/>
            </w:tcMar>
            <w:vAlign w:val="top"/>
          </w:tcPr>
          <w:p>
            <w:pPr>
              <w:spacing w:after="0" w:line="288"/>
            </w:pPr>
            <w:r>
              <w:rPr>
                <w:rFonts w:ascii="Arial" w:cs="Arial" w:eastAsia="Arial" w:hAnsi="Arial"/>
                <w:i/>
                <w:iCs/>
                <w:color w:val="154360"/>
                <w:sz w:val="22"/>
                <w:szCs w:val="22"/>
              </w:rPr>
              <w:t xml:space="preserve">the Secretary may add up to an additional 25 public housing agencies that are designated as high performing agencies under the Public Housing Assessment System or the Section 8 Management Assessment Program</w:t>
            </w:r>
          </w:p>
        </w:tc>
      </w:tr>
    </w:tbl>
    <w:p>
      <w:pPr>
        <w:spacing w:after="120" w:before="0"/>
      </w:pPr>
      <w:r>
        <w:rPr>
          <w:rFonts w:ascii="Arial" w:cs="Arial" w:eastAsia="Arial" w:hAnsi="Arial"/>
          <w:color w:val="1A1A2E"/>
          <w:sz w:val="4"/>
          <w:szCs w:val="4"/>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1B4F72" w:sz="24"/>
              <w:bottom w:val="single" w:color="DDE3EA" w:sz="4"/>
              <w:right w:val="single" w:color="DDE3EA" w:sz="4"/>
            </w:tcBorders>
            <w:shd w:fill="F7F9FB" w:color="auto" w:val="clear"/>
            <w:tcMar>
              <w:top w:type="dxa" w:w="140"/>
              <w:left w:type="dxa" w:w="180"/>
              <w:bottom w:type="dxa" w:w="140"/>
              <w:right w:type="dxa" w:w="180"/>
            </w:tcMar>
            <w:vAlign w:val="top"/>
          </w:tcPr>
          <w:p>
            <w:pPr>
              <w:spacing w:after="100" w:line="288"/>
            </w:pPr>
            <w:r>
              <w:rPr>
                <w:rFonts w:ascii="Arial" w:cs="Arial" w:eastAsia="Arial" w:hAnsi="Arial"/>
                <w:color w:val="1A1A2E"/>
                <w:sz w:val="22"/>
                <w:szCs w:val="22"/>
              </w:rPr>
              <w:t xml:space="preserve">[Agency Name] is designated a high performing agency under [the Public Housing Assessment System / the Section 8 Management Assessment Program], with a score of [___] for the assessment period ended [date], as reflected in [HUD’s published PHAS/SEMAP results of (date)].</w:t>
            </w:r>
          </w:p>
          <w:p>
            <w:pPr>
              <w:spacing w:after="0" w:line="288"/>
            </w:pPr>
            <w:r>
              <w:rPr>
                <w:rFonts w:ascii="Arial" w:cs="Arial" w:eastAsia="Arial" w:hAnsi="Arial"/>
                <w:color w:val="1A1A2E"/>
                <w:sz w:val="22"/>
                <w:szCs w:val="22"/>
              </w:rPr>
              <w:t xml:space="preserve">[If the designation is not current: state the current designation, the date, and what the agency is doing about it. Do not describe an expected designation as a current one.]</w:t>
            </w:r>
          </w:p>
        </w:tc>
      </w:tr>
    </w:tbl>
    <w:p>
      <w:pPr>
        <w:pStyle w:val="Heading2"/>
        <w:keepNext/>
        <w:spacing w:after="70" w:before="180" w:line="276"/>
      </w:pPr>
      <w:r>
        <w:rPr>
          <w:rFonts w:ascii="Arial" w:cs="Arial" w:eastAsia="Arial" w:hAnsi="Arial"/>
          <w:b/>
          <w:bCs/>
          <w:color w:val="1B4F72"/>
          <w:sz w:val="22"/>
          <w:szCs w:val="22"/>
        </w:rPr>
        <w:t xml:space="preserve">2.2 Size — the 27,000 ceiling and the three bands</w:t>
      </w:r>
    </w:p>
    <w:p>
      <w:pPr>
        <w:keepNext/>
        <w:spacing w:after="40" w:before="60" w:line="240"/>
      </w:pPr>
      <w:r>
        <w:rPr>
          <w:rFonts w:ascii="Arial" w:cs="Arial" w:eastAsia="Arial" w:hAnsi="Arial"/>
          <w:b/>
          <w:bCs/>
          <w:color w:val="A66A15"/>
          <w:spacing w:val="30"/>
          <w:sz w:val="16"/>
          <w:szCs w:val="16"/>
        </w:rPr>
        <w:t xml:space="preserve">WHAT THE STATUTE SAYS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5DADE2" w:sz="24"/>
              <w:bottom w:val="single" w:color="DDE3EA" w:sz="4"/>
              <w:right w:val="single" w:color="DDE3EA" w:sz="4"/>
            </w:tcBorders>
            <w:shd w:fill="E9F3FB" w:color="auto" w:val="clear"/>
            <w:tcMar>
              <w:top w:type="dxa" w:w="140"/>
              <w:left w:type="dxa" w:w="180"/>
              <w:bottom w:type="dxa" w:w="140"/>
              <w:right w:type="dxa" w:w="180"/>
            </w:tcMar>
            <w:vAlign w:val="top"/>
          </w:tcPr>
          <w:p>
            <w:pPr>
              <w:spacing w:after="0" w:line="288"/>
            </w:pPr>
            <w:r>
              <w:rPr>
                <w:rFonts w:ascii="Arial" w:cs="Arial" w:eastAsia="Arial" w:hAnsi="Arial"/>
                <w:i/>
                <w:iCs/>
                <w:color w:val="154360"/>
                <w:sz w:val="22"/>
                <w:szCs w:val="22"/>
              </w:rPr>
              <w:t xml:space="preserve">No public housing agency shall be granted this designation under this section that administers more than 27,000 aggregate housing vouchers and public housing units.</w:t>
            </w:r>
          </w:p>
        </w:tc>
      </w:tr>
    </w:tbl>
    <w:p>
      <w:pPr>
        <w:spacing w:after="120" w:before="0"/>
      </w:pPr>
      <w:r>
        <w:rPr>
          <w:rFonts w:ascii="Arial" w:cs="Arial" w:eastAsia="Arial" w:hAnsi="Arial"/>
          <w:color w:val="1A1A2E"/>
          <w:sz w:val="4"/>
          <w:szCs w:val="4"/>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5DADE2" w:sz="24"/>
              <w:bottom w:val="single" w:color="DDE3EA" w:sz="4"/>
              <w:right w:val="single" w:color="DDE3EA" w:sz="4"/>
            </w:tcBorders>
            <w:shd w:fill="E9F3FB" w:color="auto" w:val="clear"/>
            <w:tcMar>
              <w:top w:type="dxa" w:w="140"/>
              <w:left w:type="dxa" w:w="180"/>
              <w:bottom w:type="dxa" w:w="140"/>
              <w:right w:type="dxa" w:w="180"/>
            </w:tcMar>
            <w:vAlign w:val="top"/>
          </w:tcPr>
          <w:p>
            <w:pPr>
              <w:spacing w:after="0" w:line="288"/>
            </w:pPr>
            <w:r>
              <w:rPr>
                <w:rFonts w:ascii="Arial" w:cs="Arial" w:eastAsia="Arial" w:hAnsi="Arial"/>
                <w:i/>
                <w:iCs/>
                <w:color w:val="154360"/>
                <w:sz w:val="22"/>
                <w:szCs w:val="22"/>
              </w:rPr>
              <w:t xml:space="preserve">Of the public housing agencies selected under this section, not more than 12 shall administer 1,000 or fewer aggregate housing vouchers and public housing units, not more than 8 shall administer between 1,001 and 6,000 aggregate housing vouchers and public housing units, and not more than 5 shall administer between 6,001 and 27,000 aggregate housing vouchers and public housing units.</w:t>
            </w:r>
          </w:p>
        </w:tc>
      </w:tr>
    </w:tbl>
    <w:p>
      <w:pPr>
        <w:spacing w:after="120" w:before="0"/>
      </w:pPr>
      <w:r>
        <w:rPr>
          <w:rFonts w:ascii="Arial" w:cs="Arial" w:eastAsia="Arial" w:hAnsi="Arial"/>
          <w:color w:val="1A1A2E"/>
          <w:sz w:val="4"/>
          <w:szCs w:val="4"/>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1B4F72" w:sz="24"/>
              <w:bottom w:val="single" w:color="DDE3EA" w:sz="4"/>
              <w:right w:val="single" w:color="DDE3EA" w:sz="4"/>
            </w:tcBorders>
            <w:shd w:fill="F7F9FB" w:color="auto" w:val="clear"/>
            <w:tcMar>
              <w:top w:type="dxa" w:w="140"/>
              <w:left w:type="dxa" w:w="180"/>
              <w:bottom w:type="dxa" w:w="140"/>
              <w:right w:type="dxa" w:w="180"/>
            </w:tcMar>
            <w:vAlign w:val="top"/>
          </w:tcPr>
          <w:p>
            <w:pPr>
              <w:spacing w:after="100" w:line="288"/>
            </w:pPr>
            <w:r>
              <w:rPr>
                <w:rFonts w:ascii="Arial" w:cs="Arial" w:eastAsia="Arial" w:hAnsi="Arial"/>
                <w:color w:val="1A1A2E"/>
                <w:sz w:val="22"/>
                <w:szCs w:val="22"/>
              </w:rPr>
              <w:t xml:space="preserve">[Agency Name] administers [____] housing choice vouchers and [____] public housing units, an aggregate of [____] as of [date], which is [at or below] the 27,000 ceiling.</w:t>
            </w:r>
          </w:p>
          <w:p>
            <w:pPr>
              <w:spacing w:after="100" w:line="288"/>
            </w:pPr>
            <w:r>
              <w:rPr>
                <w:rFonts w:ascii="Arial" w:cs="Arial" w:eastAsia="Arial" w:hAnsi="Arial"/>
                <w:color w:val="1A1A2E"/>
                <w:sz w:val="22"/>
                <w:szCs w:val="22"/>
              </w:rPr>
              <w:t xml:space="preserve">That places the Agency in the [1,000 or fewer / 1,001–6,000 / 6,001–27,000] band, for which the statute caps selection at [12 / 8 / 5] agencies.</w:t>
            </w:r>
          </w:p>
          <w:p>
            <w:pPr>
              <w:spacing w:after="0" w:line="288"/>
            </w:pPr>
            <w:r>
              <w:rPr>
                <w:rFonts w:ascii="Arial" w:cs="Arial" w:eastAsia="Arial" w:hAnsi="Arial"/>
                <w:color w:val="1A1A2E"/>
                <w:sz w:val="22"/>
                <w:szCs w:val="22"/>
              </w:rPr>
              <w:t xml:space="preserve">[Note for internal use: the statute does not say how the aggregate is counted — for example whether project-based vouchers, tenant-protection vouchers, or units in a RAD conversion are included. Use a single stated basis and say what it is.]</w:t>
            </w:r>
          </w:p>
        </w:tc>
      </w:tr>
    </w:tbl>
    <w:p>
      <w:pPr>
        <w:pStyle w:val="Heading2"/>
        <w:keepNext/>
        <w:spacing w:after="70" w:before="180" w:line="276"/>
      </w:pPr>
      <w:r>
        <w:rPr>
          <w:rFonts w:ascii="Arial" w:cs="Arial" w:eastAsia="Arial" w:hAnsi="Arial"/>
          <w:b/>
          <w:bCs/>
          <w:color w:val="1B4F72"/>
          <w:sz w:val="22"/>
          <w:szCs w:val="22"/>
        </w:rPr>
        <w:t xml:space="preserve">2.3 Geographic diversity</w:t>
      </w:r>
    </w:p>
    <w:p>
      <w:pPr>
        <w:keepNext/>
        <w:spacing w:after="40" w:before="60" w:line="240"/>
      </w:pPr>
      <w:r>
        <w:rPr>
          <w:rFonts w:ascii="Arial" w:cs="Arial" w:eastAsia="Arial" w:hAnsi="Arial"/>
          <w:b/>
          <w:bCs/>
          <w:color w:val="A66A15"/>
          <w:spacing w:val="30"/>
          <w:sz w:val="16"/>
          <w:szCs w:val="16"/>
        </w:rPr>
        <w:t xml:space="preserve">WHAT THE STATUTE SAYS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5DADE2" w:sz="24"/>
              <w:bottom w:val="single" w:color="DDE3EA" w:sz="4"/>
              <w:right w:val="single" w:color="DDE3EA" w:sz="4"/>
            </w:tcBorders>
            <w:shd w:fill="E9F3FB" w:color="auto" w:val="clear"/>
            <w:tcMar>
              <w:top w:type="dxa" w:w="140"/>
              <w:left w:type="dxa" w:w="180"/>
              <w:bottom w:type="dxa" w:w="140"/>
              <w:right w:type="dxa" w:w="180"/>
            </w:tcMar>
            <w:vAlign w:val="top"/>
          </w:tcPr>
          <w:p>
            <w:pPr>
              <w:spacing w:after="0" w:line="288"/>
            </w:pPr>
            <w:r>
              <w:rPr>
                <w:rFonts w:ascii="Arial" w:cs="Arial" w:eastAsia="Arial" w:hAnsi="Arial"/>
                <w:i/>
                <w:iCs/>
                <w:color w:val="154360"/>
                <w:sz w:val="22"/>
                <w:szCs w:val="22"/>
              </w:rPr>
              <w:t xml:space="preserve">Selection of public housing agencies under this section shall be based on ensuring the geographic diversity of Moving to Work demonstration public housing agencies.</w:t>
            </w:r>
          </w:p>
        </w:tc>
      </w:tr>
    </w:tbl>
    <w:p>
      <w:pPr>
        <w:spacing w:after="120" w:before="0"/>
      </w:pPr>
      <w:r>
        <w:rPr>
          <w:rFonts w:ascii="Arial" w:cs="Arial" w:eastAsia="Arial" w:hAnsi="Arial"/>
          <w:color w:val="1A1A2E"/>
          <w:sz w:val="4"/>
          <w:szCs w:val="4"/>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1B4F72" w:sz="24"/>
              <w:bottom w:val="single" w:color="DDE3EA" w:sz="4"/>
              <w:right w:val="single" w:color="DDE3EA" w:sz="4"/>
            </w:tcBorders>
            <w:shd w:fill="F7F9FB" w:color="auto" w:val="clear"/>
            <w:tcMar>
              <w:top w:type="dxa" w:w="140"/>
              <w:left w:type="dxa" w:w="180"/>
              <w:bottom w:type="dxa" w:w="140"/>
              <w:right w:type="dxa" w:w="180"/>
            </w:tcMar>
            <w:vAlign w:val="top"/>
          </w:tcPr>
          <w:p>
            <w:pPr>
              <w:spacing w:after="0" w:line="288"/>
            </w:pPr>
            <w:r>
              <w:rPr>
                <w:rFonts w:ascii="Arial" w:cs="Arial" w:eastAsia="Arial" w:hAnsi="Arial"/>
                <w:color w:val="1A1A2E"/>
                <w:sz w:val="22"/>
                <w:szCs w:val="22"/>
              </w:rPr>
              <w:t xml:space="preserve">[Agency Name] serves [jurisdiction], in [State], HUD Region [__]. [State whether any Moving to Work agency currently operates in the State or region, and cite HUD’s published MTW agency list for the assertion.]</w:t>
            </w:r>
          </w:p>
        </w:tc>
      </w:tr>
    </w:tbl>
    <w:p>
      <w:pPr>
        <w:pStyle w:val="Heading2"/>
        <w:keepNext/>
        <w:spacing w:after="70" w:before="180" w:line="276"/>
      </w:pPr>
      <w:r>
        <w:rPr>
          <w:rFonts w:ascii="Arial" w:cs="Arial" w:eastAsia="Arial" w:hAnsi="Arial"/>
          <w:b/>
          <w:bCs/>
          <w:color w:val="1B4F72"/>
          <w:sz w:val="22"/>
          <w:szCs w:val="22"/>
        </w:rPr>
        <w:t xml:space="preserve">2.4 Families with children and youth aging out of foster care</w:t>
      </w:r>
    </w:p>
    <w:p>
      <w:pPr>
        <w:keepNext/>
        <w:spacing w:after="40" w:before="60" w:line="240"/>
      </w:pPr>
      <w:r>
        <w:rPr>
          <w:rFonts w:ascii="Arial" w:cs="Arial" w:eastAsia="Arial" w:hAnsi="Arial"/>
          <w:b/>
          <w:bCs/>
          <w:color w:val="A66A15"/>
          <w:spacing w:val="30"/>
          <w:sz w:val="16"/>
          <w:szCs w:val="16"/>
        </w:rPr>
        <w:t xml:space="preserve">WHAT THE STATUTE SAYS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5DADE2" w:sz="24"/>
              <w:bottom w:val="single" w:color="DDE3EA" w:sz="4"/>
              <w:right w:val="single" w:color="DDE3EA" w:sz="4"/>
            </w:tcBorders>
            <w:shd w:fill="E9F3FB" w:color="auto" w:val="clear"/>
            <w:tcMar>
              <w:top w:type="dxa" w:w="140"/>
              <w:left w:type="dxa" w:w="180"/>
              <w:bottom w:type="dxa" w:w="140"/>
              <w:right w:type="dxa" w:w="180"/>
            </w:tcMar>
            <w:vAlign w:val="top"/>
          </w:tcPr>
          <w:p>
            <w:pPr>
              <w:spacing w:after="0" w:line="288"/>
            </w:pPr>
            <w:r>
              <w:rPr>
                <w:rFonts w:ascii="Arial" w:cs="Arial" w:eastAsia="Arial" w:hAnsi="Arial"/>
                <w:i/>
                <w:iCs/>
                <w:color w:val="154360"/>
                <w:sz w:val="22"/>
                <w:szCs w:val="22"/>
              </w:rPr>
              <w:t xml:space="preserve">the Secretary shall prioritize selecting public housing agencies that serve families with children and youth aging out of foster care at a rate above the national average.</w:t>
            </w:r>
          </w:p>
        </w:tc>
      </w:tr>
    </w:tbl>
    <w:p>
      <w:pPr>
        <w:spacing w:after="120" w:before="0"/>
      </w:pPr>
      <w:r>
        <w:rPr>
          <w:rFonts w:ascii="Arial" w:cs="Arial" w:eastAsia="Arial" w:hAnsi="Arial"/>
          <w:color w:val="1A1A2E"/>
          <w:sz w:val="4"/>
          <w:szCs w:val="4"/>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1B4F72" w:sz="24"/>
              <w:bottom w:val="single" w:color="DDE3EA" w:sz="4"/>
              <w:right w:val="single" w:color="DDE3EA" w:sz="4"/>
            </w:tcBorders>
            <w:shd w:fill="F7F9FB" w:color="auto" w:val="clear"/>
            <w:tcMar>
              <w:top w:type="dxa" w:w="140"/>
              <w:left w:type="dxa" w:w="180"/>
              <w:bottom w:type="dxa" w:w="140"/>
              <w:right w:type="dxa" w:w="180"/>
            </w:tcMar>
            <w:vAlign w:val="top"/>
          </w:tcPr>
          <w:p>
            <w:pPr>
              <w:spacing w:after="100" w:line="288"/>
            </w:pPr>
            <w:r>
              <w:rPr>
                <w:rFonts w:ascii="Arial" w:cs="Arial" w:eastAsia="Arial" w:hAnsi="Arial"/>
                <w:color w:val="1A1A2E"/>
                <w:sz w:val="22"/>
                <w:szCs w:val="22"/>
              </w:rPr>
              <w:t xml:space="preserve">[__]% of the households [Agency Name] assists include children, and the Agency assisted [___] youth aging out of foster care in [period] through [program — for example a Foster Youth to Independence agreement or a Family Unification Program allocation].</w:t>
            </w:r>
          </w:p>
          <w:p>
            <w:pPr>
              <w:spacing w:after="0" w:line="288"/>
            </w:pPr>
            <w:r>
              <w:rPr>
                <w:rFonts w:ascii="Arial" w:cs="Arial" w:eastAsia="Arial" w:hAnsi="Arial"/>
                <w:color w:val="1A1A2E"/>
                <w:sz w:val="22"/>
                <w:szCs w:val="22"/>
              </w:rPr>
              <w:t xml:space="preserve">[Caution: the statute does not define the national average or the measurement period, and HUD has not published a comparison figure for this purpose. State the Agency’s own rate and its source; do not assert that it is “above the national average” until HUD says what that average is.]</w:t>
            </w:r>
          </w:p>
        </w:tc>
      </w:tr>
    </w:tbl>
    <w:p>
      <w:pPr>
        <w:pStyle w:val="Heading2"/>
        <w:keepNext/>
        <w:spacing w:after="70" w:before="180" w:line="276"/>
      </w:pPr>
      <w:r>
        <w:rPr>
          <w:rFonts w:ascii="Arial" w:cs="Arial" w:eastAsia="Arial" w:hAnsi="Arial"/>
          <w:b/>
          <w:bCs/>
          <w:color w:val="1B4F72"/>
          <w:sz w:val="22"/>
          <w:szCs w:val="22"/>
        </w:rPr>
        <w:t xml:space="preserve">2.5 The five commitments every selected agency must meet</w:t>
      </w:r>
    </w:p>
    <w:p>
      <w:pPr>
        <w:spacing w:after="120" w:line="336"/>
      </w:pPr>
      <w:r>
        <w:rPr>
          <w:rFonts w:ascii="Arial" w:cs="Arial" w:eastAsia="Arial" w:hAnsi="Arial"/>
          <w:color w:val="1A1A2E"/>
          <w:sz w:val="22"/>
          <w:szCs w:val="22"/>
        </w:rPr>
        <w:t xml:space="preserve">Sec. 505(f) applies the long-standing Moving to Work statutory requirements to this cohort. An agency should be able to say, before it expresses interest, that it can meet all five.</w:t>
      </w:r>
    </w:p>
    <w:p>
      <w:pPr>
        <w:keepNext/>
        <w:spacing w:after="40" w:before="60" w:line="240"/>
      </w:pPr>
      <w:r>
        <w:rPr>
          <w:rFonts w:ascii="Arial" w:cs="Arial" w:eastAsia="Arial" w:hAnsi="Arial"/>
          <w:b/>
          <w:bCs/>
          <w:color w:val="A66A15"/>
          <w:spacing w:val="30"/>
          <w:sz w:val="16"/>
          <w:szCs w:val="16"/>
        </w:rPr>
        <w:t xml:space="preserve">WHAT THE STATUTE SAYS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5DADE2" w:sz="24"/>
              <w:bottom w:val="single" w:color="DDE3EA" w:sz="4"/>
              <w:right w:val="single" w:color="DDE3EA" w:sz="4"/>
            </w:tcBorders>
            <w:shd w:fill="E9F3FB" w:color="auto" w:val="clear"/>
            <w:tcMar>
              <w:top w:type="dxa" w:w="140"/>
              <w:left w:type="dxa" w:w="180"/>
              <w:bottom w:type="dxa" w:w="140"/>
              <w:right w:type="dxa" w:w="180"/>
            </w:tcMar>
            <w:vAlign w:val="top"/>
          </w:tcPr>
          <w:p>
            <w:pPr>
              <w:spacing w:after="0" w:line="288"/>
            </w:pPr>
            <w:r>
              <w:rPr>
                <w:rFonts w:ascii="Arial" w:cs="Arial" w:eastAsia="Arial" w:hAnsi="Arial"/>
                <w:i/>
                <w:iCs/>
                <w:color w:val="154360"/>
                <w:sz w:val="22"/>
                <w:szCs w:val="22"/>
              </w:rPr>
              <w:t xml:space="preserve">ensure that not less than 75 percent of the families assisted are very low-income families, as defined in section 3(b)(2)(B) of the United States Housing Act of 1937 (42 U.S.C. 1437a(b)(2)(B));</w:t>
            </w:r>
          </w:p>
        </w:tc>
      </w:tr>
    </w:tbl>
    <w:p>
      <w:pPr>
        <w:spacing w:after="120" w:before="0"/>
      </w:pPr>
      <w:r>
        <w:rPr>
          <w:rFonts w:ascii="Arial" w:cs="Arial" w:eastAsia="Arial" w:hAnsi="Arial"/>
          <w:color w:val="1A1A2E"/>
          <w:sz w:val="4"/>
          <w:szCs w:val="4"/>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5DADE2" w:sz="24"/>
              <w:bottom w:val="single" w:color="DDE3EA" w:sz="4"/>
              <w:right w:val="single" w:color="DDE3EA" w:sz="4"/>
            </w:tcBorders>
            <w:shd w:fill="E9F3FB" w:color="auto" w:val="clear"/>
            <w:tcMar>
              <w:top w:type="dxa" w:w="140"/>
              <w:left w:type="dxa" w:w="180"/>
              <w:bottom w:type="dxa" w:w="140"/>
              <w:right w:type="dxa" w:w="180"/>
            </w:tcMar>
            <w:vAlign w:val="top"/>
          </w:tcPr>
          <w:p>
            <w:pPr>
              <w:spacing w:after="0" w:line="288"/>
            </w:pPr>
            <w:r>
              <w:rPr>
                <w:rFonts w:ascii="Arial" w:cs="Arial" w:eastAsia="Arial" w:hAnsi="Arial"/>
                <w:i/>
                <w:iCs/>
                <w:color w:val="154360"/>
                <w:sz w:val="22"/>
                <w:szCs w:val="22"/>
              </w:rPr>
              <w:t xml:space="preserve">establish a reasonable rent policy, which shall be designed to encourage employment and self-sufficiency by participating families, consistent with the purpose of the Moving to Work demonstration, such as by excluding some or all of a family’s earned income for purposes of determining rent;</w:t>
            </w:r>
          </w:p>
        </w:tc>
      </w:tr>
    </w:tbl>
    <w:p>
      <w:pPr>
        <w:spacing w:after="120" w:before="0"/>
      </w:pPr>
      <w:r>
        <w:rPr>
          <w:rFonts w:ascii="Arial" w:cs="Arial" w:eastAsia="Arial" w:hAnsi="Arial"/>
          <w:color w:val="1A1A2E"/>
          <w:sz w:val="4"/>
          <w:szCs w:val="4"/>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5DADE2" w:sz="24"/>
              <w:bottom w:val="single" w:color="DDE3EA" w:sz="4"/>
              <w:right w:val="single" w:color="DDE3EA" w:sz="4"/>
            </w:tcBorders>
            <w:shd w:fill="E9F3FB" w:color="auto" w:val="clear"/>
            <w:tcMar>
              <w:top w:type="dxa" w:w="140"/>
              <w:left w:type="dxa" w:w="180"/>
              <w:bottom w:type="dxa" w:w="140"/>
              <w:right w:type="dxa" w:w="180"/>
            </w:tcMar>
            <w:vAlign w:val="top"/>
          </w:tcPr>
          <w:p>
            <w:pPr>
              <w:spacing w:after="0" w:line="288"/>
            </w:pPr>
            <w:r>
              <w:rPr>
                <w:rFonts w:ascii="Arial" w:cs="Arial" w:eastAsia="Arial" w:hAnsi="Arial"/>
                <w:i/>
                <w:iCs/>
                <w:color w:val="154360"/>
                <w:sz w:val="22"/>
                <w:szCs w:val="22"/>
              </w:rPr>
              <w:t xml:space="preserve">continue to assist substantially the same total number of eligible low-income families as would have been served had the amounts not been combined;</w:t>
            </w:r>
          </w:p>
        </w:tc>
      </w:tr>
    </w:tbl>
    <w:p>
      <w:pPr>
        <w:spacing w:after="120" w:before="0"/>
      </w:pPr>
      <w:r>
        <w:rPr>
          <w:rFonts w:ascii="Arial" w:cs="Arial" w:eastAsia="Arial" w:hAnsi="Arial"/>
          <w:color w:val="1A1A2E"/>
          <w:sz w:val="4"/>
          <w:szCs w:val="4"/>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5DADE2" w:sz="24"/>
              <w:bottom w:val="single" w:color="DDE3EA" w:sz="4"/>
              <w:right w:val="single" w:color="DDE3EA" w:sz="4"/>
            </w:tcBorders>
            <w:shd w:fill="E9F3FB" w:color="auto" w:val="clear"/>
            <w:tcMar>
              <w:top w:type="dxa" w:w="140"/>
              <w:left w:type="dxa" w:w="180"/>
              <w:bottom w:type="dxa" w:w="140"/>
              <w:right w:type="dxa" w:w="180"/>
            </w:tcMar>
            <w:vAlign w:val="top"/>
          </w:tcPr>
          <w:p>
            <w:pPr>
              <w:spacing w:after="0" w:line="288"/>
            </w:pPr>
            <w:r>
              <w:rPr>
                <w:rFonts w:ascii="Arial" w:cs="Arial" w:eastAsia="Arial" w:hAnsi="Arial"/>
                <w:i/>
                <w:iCs/>
                <w:color w:val="154360"/>
                <w:sz w:val="22"/>
                <w:szCs w:val="22"/>
              </w:rPr>
              <w:t xml:space="preserve">maintain a comparable mix of families (by family size) as would have been provided had the amounts not been used under the Moving to Work demonstration; and</w:t>
            </w:r>
          </w:p>
        </w:tc>
      </w:tr>
    </w:tbl>
    <w:p>
      <w:pPr>
        <w:spacing w:after="120" w:before="0"/>
      </w:pPr>
      <w:r>
        <w:rPr>
          <w:rFonts w:ascii="Arial" w:cs="Arial" w:eastAsia="Arial" w:hAnsi="Arial"/>
          <w:color w:val="1A1A2E"/>
          <w:sz w:val="4"/>
          <w:szCs w:val="4"/>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5DADE2" w:sz="24"/>
              <w:bottom w:val="single" w:color="DDE3EA" w:sz="4"/>
              <w:right w:val="single" w:color="DDE3EA" w:sz="4"/>
            </w:tcBorders>
            <w:shd w:fill="E9F3FB" w:color="auto" w:val="clear"/>
            <w:tcMar>
              <w:top w:type="dxa" w:w="140"/>
              <w:left w:type="dxa" w:w="180"/>
              <w:bottom w:type="dxa" w:w="140"/>
              <w:right w:type="dxa" w:w="180"/>
            </w:tcMar>
            <w:vAlign w:val="top"/>
          </w:tcPr>
          <w:p>
            <w:pPr>
              <w:spacing w:after="0" w:line="288"/>
            </w:pPr>
            <w:r>
              <w:rPr>
                <w:rFonts w:ascii="Arial" w:cs="Arial" w:eastAsia="Arial" w:hAnsi="Arial"/>
                <w:i/>
                <w:iCs/>
                <w:color w:val="154360"/>
                <w:sz w:val="22"/>
                <w:szCs w:val="22"/>
              </w:rPr>
              <w:t xml:space="preserve">assure that housing assisted under the Moving to Work demonstration meets housing quality standards established or approved by the Secretary.</w:t>
            </w:r>
          </w:p>
        </w:tc>
      </w:tr>
    </w:tbl>
    <w:p>
      <w:pPr>
        <w:spacing w:after="140" w:before="0"/>
      </w:pPr>
      <w:r>
        <w:rPr>
          <w:rFonts w:ascii="Arial" w:cs="Arial" w:eastAsia="Arial" w:hAnsi="Arial"/>
          <w:color w:val="1A1A2E"/>
          <w:sz w:val="4"/>
          <w:szCs w:val="4"/>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1B4F72" w:sz="24"/>
              <w:bottom w:val="single" w:color="DDE3EA" w:sz="4"/>
              <w:right w:val="single" w:color="DDE3EA" w:sz="4"/>
            </w:tcBorders>
            <w:shd w:fill="F7F9FB" w:color="auto" w:val="clear"/>
            <w:tcMar>
              <w:top w:type="dxa" w:w="140"/>
              <w:left w:type="dxa" w:w="180"/>
              <w:bottom w:type="dxa" w:w="140"/>
              <w:right w:type="dxa" w:w="180"/>
            </w:tcMar>
            <w:vAlign w:val="top"/>
          </w:tcPr>
          <w:p>
            <w:pPr>
              <w:spacing w:after="0" w:line="288"/>
            </w:pPr>
            <w:r>
              <w:rPr>
                <w:rFonts w:ascii="Arial" w:cs="Arial" w:eastAsia="Arial" w:hAnsi="Arial"/>
                <w:color w:val="1A1A2E"/>
                <w:sz w:val="22"/>
                <w:szCs w:val="22"/>
              </w:rPr>
              <w:t xml:space="preserve">[Agency Name] confirms that [__]% of the families it assists are very low-income families as defined in section 3(b)(2)(B) of the United States Housing Act of 1937; and that it can meet each of the remaining requirements of Sec. 505(f), specifically: [describe the rent policy the Agency would adopt; the baseline number of families it would commit to continue serving, and the year that baseline is drawn from; the family-size mix it would maintain; and its inspection regime].</w:t>
            </w:r>
          </w:p>
        </w:tc>
      </w:tr>
    </w:tbl>
    <w:p>
      <w:pPr>
        <w:pStyle w:val="Heading2"/>
        <w:keepNext/>
        <w:spacing w:after="70" w:before="180" w:line="276"/>
      </w:pPr>
      <w:r>
        <w:rPr>
          <w:rFonts w:ascii="Arial" w:cs="Arial" w:eastAsia="Arial" w:hAnsi="Arial"/>
          <w:b/>
          <w:bCs/>
          <w:color w:val="1B4F72"/>
          <w:sz w:val="22"/>
          <w:szCs w:val="22"/>
        </w:rPr>
        <w:t xml:space="preserve">2.6 What the cohort does and does not allow</w:t>
      </w:r>
    </w:p>
    <w:p>
      <w:pPr>
        <w:spacing w:after="120" w:line="336"/>
      </w:pPr>
      <w:r>
        <w:rPr>
          <w:rFonts w:ascii="Arial" w:cs="Arial" w:eastAsia="Arial" w:hAnsi="Arial"/>
          <w:color w:val="1A1A2E"/>
          <w:sz w:val="22"/>
          <w:szCs w:val="22"/>
        </w:rPr>
        <w:t xml:space="preserve">The waiver menu for this cohort is narrower than for earlier ones, and an agency that expresses interest should show it knows that. State it plainly rather than describing flexibilities the statute forecloses.</w:t>
      </w:r>
    </w:p>
    <w:p>
      <w:pPr>
        <w:keepNext/>
        <w:spacing w:after="40" w:before="60" w:line="240"/>
      </w:pPr>
      <w:r>
        <w:rPr>
          <w:rFonts w:ascii="Arial" w:cs="Arial" w:eastAsia="Arial" w:hAnsi="Arial"/>
          <w:b/>
          <w:bCs/>
          <w:color w:val="A66A15"/>
          <w:spacing w:val="30"/>
          <w:sz w:val="16"/>
          <w:szCs w:val="16"/>
        </w:rPr>
        <w:t xml:space="preserve">WHAT THE STATUTE SAYS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5DADE2" w:sz="24"/>
              <w:bottom w:val="single" w:color="DDE3EA" w:sz="4"/>
              <w:right w:val="single" w:color="DDE3EA" w:sz="4"/>
            </w:tcBorders>
            <w:shd w:fill="E9F3FB" w:color="auto" w:val="clear"/>
            <w:tcMar>
              <w:top w:type="dxa" w:w="140"/>
              <w:left w:type="dxa" w:w="180"/>
              <w:bottom w:type="dxa" w:w="140"/>
              <w:right w:type="dxa" w:w="180"/>
            </w:tcMar>
            <w:vAlign w:val="top"/>
          </w:tcPr>
          <w:p>
            <w:pPr>
              <w:spacing w:after="0" w:line="288"/>
            </w:pPr>
            <w:r>
              <w:rPr>
                <w:rFonts w:ascii="Arial" w:cs="Arial" w:eastAsia="Arial" w:hAnsi="Arial"/>
                <w:i/>
                <w:iCs/>
                <w:color w:val="154360"/>
                <w:sz w:val="22"/>
                <w:szCs w:val="22"/>
              </w:rPr>
              <w:t xml:space="preserve">the authority of the Secretary to grant waivers to agencies admitted to the Moving to Work demonstration under this section or to designate policy changes as part of a cohort design under this section shall be limited to the Moving to Work waivers codified as of January 2025 in Appendix I of the document of the Department of Housing and Urban Development entitled “Operations Notice for the Expansion of the Moving to Work Demonstration Program’’ (FR-5994-N-05) published in the Federal Register on August 28, 2020, as amended by the notice entitled “Operations Notice for Expansion of the Moving to Work Demonstration Program Technical Revisions’’ (FR-5994-N-06) published in the Federal Register on March 20, 2025.</w:t>
            </w:r>
          </w:p>
        </w:tc>
      </w:tr>
    </w:tbl>
    <w:p>
      <w:pPr>
        <w:spacing w:after="120" w:before="0"/>
      </w:pPr>
      <w:r>
        <w:rPr>
          <w:rFonts w:ascii="Arial" w:cs="Arial" w:eastAsia="Arial" w:hAnsi="Arial"/>
          <w:color w:val="1A1A2E"/>
          <w:sz w:val="4"/>
          <w:szCs w:val="4"/>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5DADE2" w:sz="24"/>
              <w:bottom w:val="single" w:color="DDE3EA" w:sz="4"/>
              <w:right w:val="single" w:color="DDE3EA" w:sz="4"/>
            </w:tcBorders>
            <w:shd w:fill="E9F3FB" w:color="auto" w:val="clear"/>
            <w:tcMar>
              <w:top w:type="dxa" w:w="140"/>
              <w:left w:type="dxa" w:w="180"/>
              <w:bottom w:type="dxa" w:w="140"/>
              <w:right w:type="dxa" w:w="180"/>
            </w:tcMar>
            <w:vAlign w:val="top"/>
          </w:tcPr>
          <w:p>
            <w:pPr>
              <w:spacing w:after="0" w:line="288"/>
            </w:pPr>
            <w:r>
              <w:rPr>
                <w:rFonts w:ascii="Arial" w:cs="Arial" w:eastAsia="Arial" w:hAnsi="Arial"/>
                <w:i/>
                <w:iCs/>
                <w:color w:val="154360"/>
                <w:sz w:val="22"/>
                <w:szCs w:val="22"/>
              </w:rPr>
              <w:t xml:space="preserve">Under paragraph (1), the Secretary may not grant waiver 1c, 1d, 1e, 1f, 1k, 1l, 1o, 1p, 1q, 6, 7, 9a, 9h, or 12 in the document described in paragraph (1), including modifications of or safe harbor requirement waivers for such waivers.</w:t>
            </w:r>
          </w:p>
        </w:tc>
      </w:tr>
    </w:tbl>
    <w:p>
      <w:pPr>
        <w:spacing w:after="120" w:before="0"/>
      </w:pPr>
      <w:r>
        <w:rPr>
          <w:rFonts w:ascii="Arial" w:cs="Arial" w:eastAsia="Arial" w:hAnsi="Arial"/>
          <w:color w:val="1A1A2E"/>
          <w:sz w:val="4"/>
          <w:szCs w:val="4"/>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5DADE2" w:sz="24"/>
              <w:bottom w:val="single" w:color="DDE3EA" w:sz="4"/>
              <w:right w:val="single" w:color="DDE3EA" w:sz="4"/>
            </w:tcBorders>
            <w:shd w:fill="E9F3FB" w:color="auto" w:val="clear"/>
            <w:tcMar>
              <w:top w:type="dxa" w:w="140"/>
              <w:left w:type="dxa" w:w="180"/>
              <w:bottom w:type="dxa" w:w="140"/>
              <w:right w:type="dxa" w:w="180"/>
            </w:tcMar>
            <w:vAlign w:val="top"/>
          </w:tcPr>
          <w:p>
            <w:pPr>
              <w:spacing w:after="0" w:line="288"/>
            </w:pPr>
            <w:r>
              <w:rPr>
                <w:rFonts w:ascii="Arial" w:cs="Arial" w:eastAsia="Arial" w:hAnsi="Arial"/>
                <w:i/>
                <w:iCs/>
                <w:color w:val="154360"/>
                <w:sz w:val="22"/>
                <w:szCs w:val="22"/>
              </w:rPr>
              <w:t xml:space="preserve">Public housing agencies in the cohort authorized under this section may expend not more than 5 percent of the amounts those public housing agencies receive in any fiscal year for housing assistance payments under section 8(o) of the United States Housing Act of 1937 (42 U.S.C. 1437f(o)) for purposes other than such housing assistance payments.</w:t>
            </w:r>
          </w:p>
        </w:tc>
      </w:tr>
    </w:tbl>
    <w:p>
      <w:pPr>
        <w:spacing w:after="140" w:before="0"/>
      </w:pPr>
      <w:r>
        <w:rPr>
          <w:rFonts w:ascii="Arial" w:cs="Arial" w:eastAsia="Arial" w:hAnsi="Arial"/>
          <w:color w:val="1A1A2E"/>
          <w:sz w:val="4"/>
          <w:szCs w:val="4"/>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1B4F72" w:sz="24"/>
              <w:bottom w:val="single" w:color="DDE3EA" w:sz="4"/>
              <w:right w:val="single" w:color="DDE3EA" w:sz="4"/>
            </w:tcBorders>
            <w:shd w:fill="F7F9FB" w:color="auto" w:val="clear"/>
            <w:tcMar>
              <w:top w:type="dxa" w:w="140"/>
              <w:left w:type="dxa" w:w="180"/>
              <w:bottom w:type="dxa" w:w="140"/>
              <w:right w:type="dxa" w:w="180"/>
            </w:tcMar>
            <w:vAlign w:val="top"/>
          </w:tcPr>
          <w:p>
            <w:pPr>
              <w:spacing w:after="100" w:line="288"/>
            </w:pPr>
            <w:r>
              <w:rPr>
                <w:rFonts w:ascii="Arial" w:cs="Arial" w:eastAsia="Arial" w:hAnsi="Arial"/>
                <w:color w:val="1A1A2E"/>
                <w:sz w:val="22"/>
                <w:szCs w:val="22"/>
              </w:rPr>
              <w:t xml:space="preserve">[Agency Name] understands that the flexibilities available to this cohort are limited to the waivers in Appendix I of HUD’s 2020 Moving to Work Operations Notice as amended in March 2025; that the safe harbor requirements attached to those waivers may not be waived; that waivers 1c, 1d, 1e, 1f, 1k, 1l, 1o, 1p, 1q, 6, 7, 9a, 9h and 12 are unavailable; that resident participation in any program administered under waivers 10 or 11 must be optional; and that no more than 5 percent of the Agency’s housing assistance payment funds in any fiscal year may be spent for other purposes.</w:t>
            </w:r>
          </w:p>
          <w:p>
            <w:pPr>
              <w:spacing w:after="0" w:line="288"/>
            </w:pPr>
            <w:r>
              <w:rPr>
                <w:rFonts w:ascii="Arial" w:cs="Arial" w:eastAsia="Arial" w:hAnsi="Arial"/>
                <w:color w:val="1A1A2E"/>
                <w:sz w:val="22"/>
                <w:szCs w:val="22"/>
              </w:rPr>
              <w:t xml:space="preserve">The flexibilities [Agency Name] would seek are [list, by waiver number and short name], for the following local purpose: [one paragraph].</w:t>
            </w:r>
          </w:p>
        </w:tc>
      </w:tr>
    </w:tbl>
    <w:p>
      <w:pPr>
        <w:pStyle w:val="Heading1"/>
        <w:keepNext/>
        <w:spacing w:after="110" w:before="300" w:line="276"/>
      </w:pPr>
      <w:r>
        <w:rPr>
          <w:rFonts w:ascii="Arial" w:cs="Arial" w:eastAsia="Arial" w:hAnsi="Arial"/>
          <w:b/>
          <w:bCs/>
          <w:color w:val="154360"/>
          <w:sz w:val="26"/>
          <w:szCs w:val="26"/>
        </w:rPr>
        <w:t xml:space="preserve">3. What the agency would do with the designation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1B4F72" w:sz="24"/>
              <w:bottom w:val="single" w:color="DDE3EA" w:sz="4"/>
              <w:right w:val="single" w:color="DDE3EA" w:sz="4"/>
            </w:tcBorders>
            <w:shd w:fill="F7F9FB" w:color="auto" w:val="clear"/>
            <w:tcMar>
              <w:top w:type="dxa" w:w="140"/>
              <w:left w:type="dxa" w:w="180"/>
              <w:bottom w:type="dxa" w:w="140"/>
              <w:right w:type="dxa" w:w="180"/>
            </w:tcMar>
            <w:vAlign w:val="top"/>
          </w:tcPr>
          <w:p>
            <w:pPr>
              <w:spacing w:after="100" w:line="288"/>
            </w:pPr>
            <w:r>
              <w:rPr>
                <w:rFonts w:ascii="Arial" w:cs="Arial" w:eastAsia="Arial" w:hAnsi="Arial"/>
                <w:color w:val="1A1A2E"/>
                <w:sz w:val="22"/>
                <w:szCs w:val="22"/>
              </w:rPr>
              <w:t xml:space="preserve">[One page, in the Agency’s own words: the local problem, the specific waivers that address it, what the Agency would measure, and the baseline it would measure against. Keep it to outcomes the Agency can actually report.]</w:t>
            </w:r>
          </w:p>
          <w:p>
            <w:pPr>
              <w:spacing w:after="0" w:line="288"/>
            </w:pPr>
            <w:r>
              <w:rPr>
                <w:rFonts w:ascii="Arial" w:cs="Arial" w:eastAsia="Arial" w:hAnsi="Arial"/>
                <w:color w:val="1A1A2E"/>
                <w:sz w:val="22"/>
                <w:szCs w:val="22"/>
              </w:rPr>
              <w:t xml:space="preserve">[Name the staff who would run it and the systems changes required. HUD’s prior cohorts have turned on capacity, not ambition.]</w:t>
            </w:r>
          </w:p>
        </w:tc>
      </w:tr>
    </w:tbl>
    <w:p>
      <w:pPr>
        <w:pStyle w:val="Heading1"/>
        <w:keepNext/>
        <w:spacing w:after="110" w:before="300" w:line="276"/>
      </w:pPr>
      <w:r>
        <w:rPr>
          <w:rFonts w:ascii="Arial" w:cs="Arial" w:eastAsia="Arial" w:hAnsi="Arial"/>
          <w:b/>
          <w:bCs/>
          <w:color w:val="154360"/>
          <w:sz w:val="26"/>
          <w:szCs w:val="26"/>
        </w:rPr>
        <w:t xml:space="preserve">4. Attachments to assemble</w:t>
      </w:r>
    </w:p>
    <w:p>
      <w:pPr>
        <w:pStyle w:val="ListParagraph"/>
        <w:numPr>
          <w:ilvl w:val="0"/>
          <w:numId w:val="2"/>
        </w:numPr>
        <w:spacing w:after="60" w:line="336"/>
      </w:pPr>
      <w:r>
        <w:rPr>
          <w:rFonts w:ascii="Arial" w:cs="Arial" w:eastAsia="Arial" w:hAnsi="Arial"/>
          <w:color w:val="1A1A2E"/>
          <w:sz w:val="22"/>
          <w:szCs w:val="22"/>
        </w:rPr>
        <w:t xml:space="preserve">Current PHAS or SEMAP designation letter or published score.</w:t>
      </w:r>
    </w:p>
    <w:p>
      <w:pPr>
        <w:pStyle w:val="ListParagraph"/>
        <w:numPr>
          <w:ilvl w:val="0"/>
          <w:numId w:val="2"/>
        </w:numPr>
        <w:spacing w:after="60" w:line="336"/>
      </w:pPr>
      <w:r>
        <w:rPr>
          <w:rFonts w:ascii="Arial" w:cs="Arial" w:eastAsia="Arial" w:hAnsi="Arial"/>
          <w:color w:val="1A1A2E"/>
          <w:sz w:val="22"/>
          <w:szCs w:val="22"/>
        </w:rPr>
        <w:t xml:space="preserve">Unit and voucher counts as of a stated date, with the counting basis stated.</w:t>
      </w:r>
    </w:p>
    <w:p>
      <w:pPr>
        <w:pStyle w:val="ListParagraph"/>
        <w:numPr>
          <w:ilvl w:val="0"/>
          <w:numId w:val="2"/>
        </w:numPr>
        <w:spacing w:after="60" w:line="336"/>
      </w:pPr>
      <w:r>
        <w:rPr>
          <w:rFonts w:ascii="Arial" w:cs="Arial" w:eastAsia="Arial" w:hAnsi="Arial"/>
          <w:color w:val="1A1A2E"/>
          <w:sz w:val="22"/>
          <w:szCs w:val="22"/>
        </w:rPr>
        <w:t xml:space="preserve">Most recent audited financial statements and any findings.</w:t>
      </w:r>
    </w:p>
    <w:p>
      <w:pPr>
        <w:pStyle w:val="ListParagraph"/>
        <w:numPr>
          <w:ilvl w:val="0"/>
          <w:numId w:val="2"/>
        </w:numPr>
        <w:spacing w:after="60" w:line="336"/>
      </w:pPr>
      <w:r>
        <w:rPr>
          <w:rFonts w:ascii="Arial" w:cs="Arial" w:eastAsia="Arial" w:hAnsi="Arial"/>
          <w:color w:val="1A1A2E"/>
          <w:sz w:val="22"/>
          <w:szCs w:val="22"/>
        </w:rPr>
        <w:t xml:space="preserve">Board resolution authorizing participation, if the Agency chooses to adopt one.</w:t>
      </w:r>
    </w:p>
    <w:p>
      <w:pPr>
        <w:pStyle w:val="ListParagraph"/>
        <w:numPr>
          <w:ilvl w:val="0"/>
          <w:numId w:val="2"/>
        </w:numPr>
        <w:spacing w:after="60" w:line="336"/>
      </w:pPr>
      <w:r>
        <w:rPr>
          <w:rFonts w:ascii="Arial" w:cs="Arial" w:eastAsia="Arial" w:hAnsi="Arial"/>
          <w:color w:val="1A1A2E"/>
          <w:sz w:val="22"/>
          <w:szCs w:val="22"/>
        </w:rPr>
        <w:t xml:space="preserve">Resident engagement record — how residents were told and what they said.</w:t>
      </w:r>
    </w:p>
    <w:p>
      <w:pPr>
        <w:pStyle w:val="Heading1"/>
        <w:keepNext/>
        <w:spacing w:after="110" w:before="300" w:line="276"/>
      </w:pPr>
      <w:r>
        <w:rPr>
          <w:rFonts w:ascii="Arial" w:cs="Arial" w:eastAsia="Arial" w:hAnsi="Arial"/>
          <w:b/>
          <w:bCs/>
          <w:color w:val="154360"/>
          <w:sz w:val="26"/>
          <w:szCs w:val="26"/>
        </w:rPr>
        <w:t xml:space="preserve">Before you adopt this</w:t>
      </w:r>
    </w:p>
    <w:p>
      <w:pPr>
        <w:tabs>
          <w:tab w:val="left" w:pos="360"/>
        </w:tabs>
        <w:spacing w:after="7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Nothing has been sent to HUD. No selection notice exists as of the content review date on this document.</w:t>
      </w:r>
    </w:p>
    <w:p>
      <w:pPr>
        <w:tabs>
          <w:tab w:val="left" w:pos="360"/>
        </w:tabs>
        <w:spacing w:after="7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Counsel has reviewed any representation the Agency makes about its own eligibility.</w:t>
      </w:r>
    </w:p>
    <w:p>
      <w:pPr>
        <w:tabs>
          <w:tab w:val="left" w:pos="360"/>
        </w:tabs>
        <w:spacing w:after="7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Every figure states its source and its as-of date.</w:t>
      </w:r>
    </w:p>
    <w:p>
      <w:pPr>
        <w:tabs>
          <w:tab w:val="left" w:pos="360"/>
        </w:tabs>
        <w:spacing w:after="7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No claim is made about being “above the national average” for foster-care or family-with-children service unless HUD has published the comparison.</w:t>
      </w:r>
    </w:p>
    <w:p>
      <w:pPr>
        <w:tabs>
          <w:tab w:val="left" w:pos="360"/>
        </w:tabs>
        <w:spacing w:after="7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The board has been briefed on the 5 percent cap and on the fourteen unavailable waivers before being asked to support an application.</w:t>
      </w:r>
    </w:p>
    <w:p>
      <w:pPr>
        <w:tabs>
          <w:tab w:val="left" w:pos="360"/>
        </w:tabs>
        <w:spacing w:after="7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A calendar reminder is set for the Sec. 505(h)(2) report due about January 7, 2027, after which HUD may begin adding agencies.</w:t>
      </w:r>
    </w:p>
    <w:p>
      <w:pPr>
        <w:pStyle w:val="Heading1"/>
        <w:keepNext/>
        <w:spacing w:after="110" w:before="300" w:line="276"/>
      </w:pPr>
      <w:r>
        <w:rPr>
          <w:rFonts w:ascii="Arial" w:cs="Arial" w:eastAsia="Arial" w:hAnsi="Arial"/>
          <w:b/>
          <w:bCs/>
          <w:color w:val="154360"/>
          <w:sz w:val="26"/>
          <w:szCs w:val="26"/>
        </w:rPr>
        <w:t xml:space="preserve">Sources</w:t>
      </w:r>
    </w:p>
    <w:p>
      <w:pPr>
        <w:pStyle w:val="ListParagraph"/>
        <w:numPr>
          <w:ilvl w:val="0"/>
          <w:numId w:val="2"/>
        </w:numPr>
        <w:spacing w:after="40" w:line="288"/>
      </w:pPr>
      <w:r>
        <w:rPr>
          <w:rFonts w:ascii="Arial" w:cs="Arial" w:eastAsia="Arial" w:hAnsi="Arial"/>
          <w:color w:val="1A1A2E"/>
          <w:sz w:val="22"/>
          <w:szCs w:val="22"/>
        </w:rPr>
        <w:t xml:space="preserve">Enrolled text of H.R. 6644 (119th Congress) — U.S. GPO, govinfo — </w:t>
      </w:r>
      <w:r>
        <w:rPr>
          <w:rFonts w:ascii="Arial" w:cs="Arial" w:eastAsia="Arial" w:hAnsi="Arial"/>
          <w:color w:val="0A66C2"/>
          <w:sz w:val="16"/>
          <w:szCs w:val="16"/>
        </w:rPr>
        <w:t xml:space="preserve">https://www.govinfo.gov/content/pkg/BILLS-119hr6644enr/html/BILLS-119hr6644enr.htm</w:t>
      </w:r>
    </w:p>
    <w:p>
      <w:pPr>
        <w:pStyle w:val="ListParagraph"/>
        <w:numPr>
          <w:ilvl w:val="0"/>
          <w:numId w:val="2"/>
        </w:numPr>
        <w:spacing w:after="40" w:line="288"/>
      </w:pPr>
      <w:r>
        <w:rPr>
          <w:rFonts w:ascii="Arial" w:cs="Arial" w:eastAsia="Arial" w:hAnsi="Arial"/>
          <w:color w:val="1A1A2E"/>
          <w:sz w:val="22"/>
          <w:szCs w:val="22"/>
        </w:rPr>
        <w:t xml:space="preserve">Bipartisan Policy Center — ROAD to Housing Act implementation tracker — </w:t>
      </w:r>
      <w:r>
        <w:rPr>
          <w:rFonts w:ascii="Arial" w:cs="Arial" w:eastAsia="Arial" w:hAnsi="Arial"/>
          <w:color w:val="0A66C2"/>
          <w:sz w:val="16"/>
          <w:szCs w:val="16"/>
        </w:rPr>
        <w:t xml:space="preserve">https://bipartisanpolicy.org/hub/21st-century-road-to-housing-act-implementation-tracker/</w:t>
      </w:r>
    </w:p>
    <w:p>
      <w:pPr>
        <w:pStyle w:val="ListParagraph"/>
        <w:numPr>
          <w:ilvl w:val="0"/>
          <w:numId w:val="2"/>
        </w:numPr>
        <w:spacing w:after="40" w:line="288"/>
      </w:pPr>
      <w:r>
        <w:rPr>
          <w:rFonts w:ascii="Arial" w:cs="Arial" w:eastAsia="Arial" w:hAnsi="Arial"/>
          <w:color w:val="1A1A2E"/>
          <w:sz w:val="22"/>
          <w:szCs w:val="22"/>
        </w:rPr>
        <w:t xml:space="preserve">AI Housers — ROAD to Housing hub (status, sources, tracker) — </w:t>
      </w:r>
      <w:r>
        <w:rPr>
          <w:rFonts w:ascii="Arial" w:cs="Arial" w:eastAsia="Arial" w:hAnsi="Arial"/>
          <w:color w:val="0A66C2"/>
          <w:sz w:val="16"/>
          <w:szCs w:val="16"/>
        </w:rPr>
        <w:t xml:space="preserve">https://aihousers.com/road-to-housing</w:t>
      </w:r>
    </w:p>
    <w:p>
      <w:pPr>
        <w:keepNext/>
        <w:pBdr>
          <w:top w:val="single" w:color="DDE3EA" w:sz="4" w:space="8"/>
        </w:pBdr>
        <w:spacing w:after="80" w:before="200" w:line="252"/>
      </w:pPr>
      <w:r>
        <w:rPr>
          <w:rFonts w:ascii="Arial" w:cs="Arial" w:eastAsia="Arial" w:hAnsi="Arial"/>
          <w:color w:val="4B5563"/>
          <w:sz w:val="17"/>
          <w:szCs w:val="17"/>
        </w:rPr>
        <w:t xml:space="preserve">Independent, plain-language explainer prepared by AI Housers (Houser Technologies LLC). Not legal, compliance, or financial advice; not affiliated with HUD, USDA, Congress, or any agency. Every fact traces to a primary or authoritative source; confirm against the enacted text and official agency guidance before acting.</w:t>
      </w:r>
    </w:p>
    <w:p>
      <w:pPr>
        <w:spacing w:after="0" w:line="252"/>
      </w:pPr>
      <w:r>
        <w:rPr>
          <w:rFonts w:ascii="Arial" w:cs="Arial" w:eastAsia="Arial" w:hAnsi="Arial"/>
          <w:color w:val="4B5563"/>
          <w:sz w:val="17"/>
          <w:szCs w:val="17"/>
        </w:rPr>
        <w:t xml:space="preserve">Reuse freely, including with your own logo, with attribution to AI Housers — aihousers.com/road-to-housing (CC BY 4.0). </w:t>
      </w:r>
      <w:r>
        <w:rPr>
          <w:rFonts w:ascii="Arial" w:cs="Arial" w:eastAsia="Arial" w:hAnsi="Arial"/>
          <w:color w:val="0A66C2"/>
          <w:sz w:val="17"/>
          <w:szCs w:val="17"/>
        </w:rPr>
        <w:t xml:space="preserve">https://creativecommons.org/licenses/by/4.0/</w:t>
      </w:r>
    </w:p>
    <w:sectPr>
      <w:headerReference w:type="default" r:id="rId7"/>
      <w:footerReference w:type="default" r:id="rId8"/>
      <w:pgSz w:w="12240" w:h="15840" w:orient="portrait"/>
      <w:pgMar w:top="1080" w:right="1080" w:bottom="1080" w:left="1080" w:header="500" w:footer="42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E3EA" w:sz="4" w:space="6"/>
      </w:pBdr>
      <w:tabs>
        <w:tab w:val="right" w:pos="10080"/>
      </w:tabs>
      <w:spacing w:after="0" w:line="240"/>
    </w:pPr>
    <w:r>
      <w:rPr>
        <w:rFonts w:ascii="Arial" w:cs="Arial" w:eastAsia="Arial" w:hAnsi="Arial"/>
        <w:color w:val="4B5563"/>
        <w:sz w:val="14"/>
        <w:szCs w:val="14"/>
      </w:rPr>
      <w:t xml:space="preserve">Model document · drafting aid, not legal advice · have counsel review before adopting.</w:t>
    </w:r>
    <w:r>
      <w:rPr>
        <w:rFonts w:ascii="Arial" w:cs="Arial" w:eastAsia="Arial" w:hAnsi="Arial"/>
        <w:color w:val="4B5563"/>
        <w:sz w:val="14"/>
        <w:szCs w:val="14"/>
      </w:rPr>
      <w:t xml:space="preserve">	Page </w:t>
    </w:r>
    <w:r>
      <w:rPr>
        <w:rFonts w:ascii="Arial" w:cs="Arial" w:eastAsia="Arial" w:hAnsi="Arial"/>
        <w:color w:val="4B5563"/>
        <w:sz w:val="14"/>
        <w:szCs w:val="14"/>
      </w:rPr>
      <w:fldChar w:fldCharType="begin"/>
      <w:instrText xml:space="preserve">PAGE</w:instrText>
      <w:fldChar w:fldCharType="separate"/>
      <w:fldChar w:fldCharType="end"/>
    </w:r>
    <w:r>
      <w:rPr>
        <w:rFonts w:ascii="Arial" w:cs="Arial" w:eastAsia="Arial" w:hAnsi="Arial"/>
        <w:color w:val="4B5563"/>
        <w:sz w:val="14"/>
        <w:szCs w:val="14"/>
      </w:rPr>
      <w:t xml:space="preserve"> of </w:t>
    </w:r>
    <w:r>
      <w:rPr>
        <w:rFonts w:ascii="Arial" w:cs="Arial" w:eastAsia="Arial" w:hAnsi="Arial"/>
        <w:color w:val="4B5563"/>
        <w:sz w:val="14"/>
        <w:szCs w:val="14"/>
      </w:rPr>
      <w:fldChar w:fldCharType="begin"/>
      <w:instrText xml:space="preserve">NUMPAGES</w:instrText>
      <w:fldChar w:fldCharType="separate"/>
      <w:fldChar w:fldCharType="end"/>
    </w:r>
  </w:p>
  <w:p>
    <w:pPr>
      <w:spacing w:after="0" w:before="40" w:line="240"/>
    </w:pPr>
    <w:r>
      <w:rPr>
        <w:rFonts w:ascii="Arial" w:cs="Arial" w:eastAsia="Arial" w:hAnsi="Arial"/>
        <w:color w:val="4B5563"/>
        <w:sz w:val="14"/>
        <w:szCs w:val="14"/>
      </w:rPr>
      <w:t xml:space="preserve">Reuse freely, including with your own logo, with attribution to AI Housers — aihousers.com/road-to-housing (CC BY 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Arial" w:cs="Arial" w:eastAsia="Arial" w:hAnsi="Arial"/>
        <w:color w:val="4B5563"/>
        <w:sz w:val="15"/>
        <w:szCs w:val="15"/>
      </w:rPr>
      <w:t xml:space="preserve">21st Century ROAD to Housing Act · Moving to Work letter of interest outline · Sec. 505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rPr>
        <w:color w:val="1B4F7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Arial" w:cs="Arial" w:eastAsia="Arial" w:hAnsi="Arial"/>
      <w:b/>
      <w:bCs/>
      <w:color w:val="154360"/>
      <w:sz w:val="26"/>
      <w:szCs w:val="26"/>
    </w:rPr>
  </w:style>
  <w:style w:type="paragraph" w:styleId="Heading2">
    <w:name w:val="Heading 2"/>
    <w:basedOn w:val="Normal"/>
    <w:next w:val="Normal"/>
    <w:qFormat/>
    <w:rPr>
      <w:rFonts w:ascii="Arial" w:cs="Arial" w:eastAsia="Arial" w:hAnsi="Arial"/>
      <w:b/>
      <w:bCs/>
      <w:color w:val="1B4F7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8d29c19467000777720b1133f971811d85354e99.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Moving to Work cohort — letter of interest outline (Sec. 505) — model document (Public Housing Authorities)</dc:title>
  <dc:creator>AI Housers</dc:creator>
  <dc:description>Independent, plain-language explainer prepared by AI Housers (Houser Technologies LLC). Not legal, compliance, or financial advice; not affiliated with HUD, USDA, Congress, or any agency. Every fact traces to a primary or authoritative source; confirm against the enacted text and official agency guidance before acting. Licence: CC BY 4.0 — https://creativecommons.org/licenses/by/4.0/</dc:description>
  <cp:lastModifiedBy>Un-named</cp:lastModifiedBy>
  <cp:revision>1</cp:revision>
  <dcterms:created xsi:type="dcterms:W3CDTF">2026-08-30T00:37:06.026Z</dcterms:created>
  <dcterms:modified xsi:type="dcterms:W3CDTF">2026-08-30T00:37:06.026Z</dcterms:modified>
</cp:coreProperties>
</file>

<file path=docProps/custom.xml><?xml version="1.0" encoding="utf-8"?>
<Properties xmlns="http://schemas.openxmlformats.org/officeDocument/2006/custom-properties" xmlns:vt="http://schemas.openxmlformats.org/officeDocument/2006/docPropsVTypes"/>
</file>