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Model document · Prepared from aihousers.com/road-to-housing</w:t>
      </w:r>
    </w:p>
    <w:p>
      <w:pPr>
        <w:spacing w:after="20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B42318" w:sz="24"/>
              <w:bottom w:val="single" w:color="DDE3EA" w:sz="4"/>
              <w:right w:val="single" w:color="DDE3EA" w:sz="4"/>
            </w:tcBorders>
            <w:shd w:fill="FDECEC" w:color="auto" w:val="clear"/>
            <w:tcMar>
              <w:top w:type="dxa" w:w="140"/>
              <w:left w:type="dxa" w:w="180"/>
              <w:bottom w:type="dxa" w:w="140"/>
              <w:right w:type="dxa" w:w="180"/>
            </w:tcMar>
            <w:vAlign w:val="top"/>
          </w:tcPr>
          <w:p>
            <w:pPr>
              <w:spacing w:after="90" w:line="264"/>
            </w:pPr>
            <w:r>
              <w:rPr>
                <w:rFonts w:ascii="Arial" w:cs="Arial" w:eastAsia="Arial" w:hAnsi="Arial"/>
                <w:b/>
                <w:bCs/>
                <w:color w:val="B42318"/>
                <w:sz w:val="22"/>
                <w:szCs w:val="22"/>
              </w:rPr>
              <w:t xml:space="preserve">READ THIS FIRST — DRAFTING AID, NOT LEGAL ADVICE</w:t>
            </w:r>
          </w:p>
          <w:p>
            <w:pPr>
              <w:spacing w:after="90" w:line="276"/>
            </w:pPr>
            <w:r>
              <w:rPr>
                <w:rFonts w:ascii="Arial" w:cs="Arial" w:eastAsia="Arial" w:hAnsi="Arial"/>
                <w:color w:val="1A1A2E"/>
                <w:sz w:val="22"/>
                <w:szCs w:val="22"/>
              </w:rPr>
              <w:t xml:space="preserve">This is model language prepared by AI Housers from the enrolled text of the </w:t>
            </w:r>
            <w:r>
              <w:rPr>
                <w:rFonts w:ascii="Arial" w:cs="Arial" w:eastAsia="Arial" w:hAnsi="Arial"/>
                <w:b/>
                <w:bCs/>
                <w:color w:val="1A1A2E"/>
                <w:sz w:val="22"/>
                <w:szCs w:val="22"/>
              </w:rPr>
              <w:t xml:space="preserve">21st Century ROAD to Housing Act (H.R. 6644 (119th Congress), Public Law 119-101, enacted July 11, 2026)</w:t>
            </w:r>
            <w:r>
              <w:rPr>
                <w:rFonts w:ascii="Arial" w:cs="Arial" w:eastAsia="Arial" w:hAnsi="Arial"/>
                <w:color w:val="1A1A2E"/>
                <w:sz w:val="22"/>
                <w:szCs w:val="22"/>
              </w:rPr>
              <w:t xml:space="preserve">. It is a starting point for your own drafting. It is </w:t>
            </w:r>
            <w:r>
              <w:rPr>
                <w:rFonts w:ascii="Arial" w:cs="Arial" w:eastAsia="Arial" w:hAnsi="Arial"/>
                <w:b/>
                <w:bCs/>
                <w:color w:val="1A1A2E"/>
                <w:sz w:val="22"/>
                <w:szCs w:val="22"/>
              </w:rPr>
              <w:t xml:space="preserve">not legal advice</w:t>
            </w:r>
            <w:r>
              <w:rPr>
                <w:rFonts w:ascii="Arial" w:cs="Arial" w:eastAsia="Arial" w:hAnsi="Arial"/>
                <w:color w:val="1A1A2E"/>
                <w:sz w:val="22"/>
                <w:szCs w:val="22"/>
              </w:rPr>
              <w:t xml:space="preserve">, not a HUD-approved form, and not a substitute for the statute or for HUD guidance.</w:t>
            </w:r>
          </w:p>
          <w:p>
            <w:pPr>
              <w:spacing w:after="90" w:line="276"/>
            </w:pPr>
            <w:r>
              <w:rPr>
                <w:rFonts w:ascii="Arial" w:cs="Arial" w:eastAsia="Arial" w:hAnsi="Arial"/>
                <w:b/>
                <w:bCs/>
                <w:color w:val="1A1A2E"/>
                <w:sz w:val="22"/>
                <w:szCs w:val="22"/>
              </w:rPr>
              <w:t xml:space="preserve">Before you adopt any of it: </w:t>
            </w:r>
            <w:r>
              <w:rPr>
                <w:rFonts w:ascii="Arial" w:cs="Arial" w:eastAsia="Arial" w:hAnsi="Arial"/>
                <w:color w:val="1A1A2E"/>
                <w:sz w:val="22"/>
                <w:szCs w:val="22"/>
              </w:rPr>
              <w:t xml:space="preserve">have your agency’s counsel review it; conform it to your state and local law, your existing policies, and your own governing-document amendment process; and check it against the HUD guidance in effect on the day you adopt it.</w:t>
            </w:r>
          </w:p>
          <w:p>
            <w:pPr>
              <w:spacing w:after="0" w:line="276"/>
            </w:pPr>
            <w:r>
              <w:rPr>
                <w:rFonts w:ascii="Arial" w:cs="Arial" w:eastAsia="Arial" w:hAnsi="Arial"/>
                <w:b/>
                <w:bCs/>
                <w:color w:val="B42318"/>
                <w:sz w:val="22"/>
                <w:szCs w:val="22"/>
              </w:rPr>
              <w:t xml:space="preserve">Guidance has not issued. </w:t>
            </w:r>
            <w:r>
              <w:rPr>
                <w:rFonts w:ascii="Arial" w:cs="Arial" w:eastAsia="Arial" w:hAnsi="Arial"/>
                <w:color w:val="1A1A2E"/>
                <w:sz w:val="22"/>
                <w:szCs w:val="22"/>
              </w:rPr>
              <w:t xml:space="preserve">HUD has issued no PIH notice and no conforming change to 24 CFR part 982 implementing Sec. 405. Notice PIH 2026-18 (July 15, 2026) revised and finalized NSPIRE administrative procedures for voucher programs — extending the compliance date to February 1, 2027 — without incorporating the Act. One provision below — remote and video inspections — is written as authority the Secretary “may allow”, so it is not available to a PHA until HUD allows it.</w:t>
            </w:r>
            <w:r>
              <w:rPr>
                <w:rFonts w:ascii="Arial" w:cs="Arial" w:eastAsia="Arial" w:hAnsi="Arial"/>
                <w:color w:val="1A1A2E"/>
                <w:sz w:val="22"/>
                <w:szCs w:val="22"/>
              </w:rPr>
              <w:t xml:space="preserve"> Content reviewed August 29, 2026; check the hub before you rely on any status statement here.</w:t>
            </w:r>
          </w:p>
        </w:tc>
      </w:tr>
    </w:tbl>
    <w:p>
      <w:pPr>
        <w:spacing w:after="40" w:before="260"/>
      </w:pPr>
      <w:r>
        <w:rPr>
          <w:rFonts w:ascii="Arial" w:cs="Arial" w:eastAsia="Arial" w:hAnsi="Arial"/>
          <w:b/>
          <w:bCs/>
          <w:color w:val="154360"/>
          <w:sz w:val="32"/>
          <w:szCs w:val="32"/>
        </w:rPr>
        <w:t xml:space="preserve">HCV Administrative Plan — model language for Sec. 405</w:t>
      </w:r>
    </w:p>
    <w:p>
      <w:pPr>
        <w:spacing w:after="60" w:line="276"/>
      </w:pPr>
      <w:r>
        <w:rPr>
          <w:rFonts w:ascii="Arial" w:cs="Arial" w:eastAsia="Arial" w:hAnsi="Arial"/>
          <w:color w:val="1B4F72"/>
          <w:sz w:val="21"/>
          <w:szCs w:val="21"/>
        </w:rPr>
        <w:t xml:space="preserve">Insertable Administrative Plan language for the four voucher-inspection changes in Sec. 405, with the agency’s choices in [brackets] and the statute quoted under each block.</w:t>
      </w:r>
    </w:p>
    <w:p>
      <w:pPr>
        <w:pBdr>
          <w:bottom w:val="single" w:color="DDE3EA" w:sz="4" w:space="6"/>
        </w:pBdr>
        <w:spacing w:after="180"/>
      </w:pPr>
      <w:r>
        <w:rPr>
          <w:rFonts w:ascii="Arial" w:cs="Arial" w:eastAsia="Arial" w:hAnsi="Arial"/>
          <w:color w:val="1A1A2E"/>
          <w:sz w:val="4"/>
          <w:szCs w:val="4"/>
        </w:rPr>
        <w:t xml:space="preserve"/>
      </w:r>
    </w:p>
    <w:p>
      <w:pPr>
        <w:pStyle w:val="Heading1"/>
        <w:keepNext/>
        <w:spacing w:after="110" w:before="300" w:line="276"/>
      </w:pPr>
      <w:r>
        <w:rPr>
          <w:rFonts w:ascii="Arial" w:cs="Arial" w:eastAsia="Arial" w:hAnsi="Arial"/>
          <w:b/>
          <w:bCs/>
          <w:color w:val="154360"/>
          <w:sz w:val="26"/>
          <w:szCs w:val="26"/>
        </w:rPr>
        <w:t xml:space="preserve">How to use this document</w:t>
      </w:r>
    </w:p>
    <w:p>
      <w:pPr>
        <w:pStyle w:val="ListParagraph"/>
        <w:numPr>
          <w:ilvl w:val="0"/>
          <w:numId w:val="2"/>
        </w:numPr>
        <w:spacing w:after="60" w:line="336"/>
      </w:pPr>
      <w:r>
        <w:rPr>
          <w:rFonts w:ascii="Arial" w:cs="Arial" w:eastAsia="Arial" w:hAnsi="Arial"/>
          <w:b/>
          <w:bCs/>
          <w:color w:val="1A1A2E"/>
          <w:sz w:val="22"/>
          <w:szCs w:val="22"/>
        </w:rPr>
        <w:t xml:space="preserve">Square brackets are your decisions. </w:t>
      </w:r>
      <w:r>
        <w:rPr>
          <w:rFonts w:ascii="Arial" w:cs="Arial" w:eastAsia="Arial" w:hAnsi="Arial"/>
          <w:color w:val="1A1A2E"/>
          <w:sz w:val="22"/>
          <w:szCs w:val="22"/>
        </w:rPr>
        <w:t xml:space="preserve">Every [bracketed] passage is a choice, a local fact, or a blank the agency fills in. Delete the options you do not take; nothing should still be in brackets when you adopt it.</w:t>
      </w:r>
    </w:p>
    <w:p>
      <w:pPr>
        <w:pStyle w:val="ListParagraph"/>
        <w:numPr>
          <w:ilvl w:val="0"/>
          <w:numId w:val="2"/>
        </w:numPr>
        <w:spacing w:after="60" w:line="336"/>
      </w:pPr>
      <w:r>
        <w:rPr>
          <w:rFonts w:ascii="Arial" w:cs="Arial" w:eastAsia="Arial" w:hAnsi="Arial"/>
          <w:b/>
          <w:bCs/>
          <w:color w:val="1A1A2E"/>
          <w:sz w:val="22"/>
          <w:szCs w:val="22"/>
        </w:rPr>
        <w:t xml:space="preserve">Shaded blocks with a navy rule are the model language. </w:t>
      </w:r>
      <w:r>
        <w:rPr>
          <w:rFonts w:ascii="Arial" w:cs="Arial" w:eastAsia="Arial" w:hAnsi="Arial"/>
          <w:color w:val="1A1A2E"/>
          <w:sz w:val="22"/>
          <w:szCs w:val="22"/>
        </w:rPr>
        <w:t xml:space="preserve">That is the text to paste into your own document. The prose outside those blocks is commentary and should not be pasted.</w:t>
      </w:r>
    </w:p>
    <w:p>
      <w:pPr>
        <w:pStyle w:val="ListParagraph"/>
        <w:numPr>
          <w:ilvl w:val="0"/>
          <w:numId w:val="2"/>
        </w:numPr>
        <w:spacing w:after="60" w:line="336"/>
      </w:pPr>
      <w:r>
        <w:rPr>
          <w:rFonts w:ascii="Arial" w:cs="Arial" w:eastAsia="Arial" w:hAnsi="Arial"/>
          <w:b/>
          <w:bCs/>
          <w:color w:val="1A1A2E"/>
          <w:sz w:val="22"/>
          <w:szCs w:val="22"/>
        </w:rPr>
        <w:t xml:space="preserve">Blue blocks are the statute, quoted verbatim. </w:t>
      </w:r>
      <w:r>
        <w:rPr>
          <w:rFonts w:ascii="Arial" w:cs="Arial" w:eastAsia="Arial" w:hAnsi="Arial"/>
          <w:color w:val="1A1A2E"/>
          <w:sz w:val="22"/>
          <w:szCs w:val="22"/>
        </w:rPr>
        <w:t xml:space="preserve">They are here so you can see exactly what the model language is built on. The enrolled text is reproduced word for word, including its “--” dashes and its internal clause numbering; only the GPO typewriter quotation marks are shown as ordinary ones.</w:t>
      </w:r>
    </w:p>
    <w:p>
      <w:pPr>
        <w:pStyle w:val="ListParagraph"/>
        <w:numPr>
          <w:ilvl w:val="0"/>
          <w:numId w:val="2"/>
        </w:numPr>
        <w:spacing w:after="60" w:line="336"/>
      </w:pPr>
      <w:r>
        <w:rPr>
          <w:rFonts w:ascii="Arial" w:cs="Arial" w:eastAsia="Arial" w:hAnsi="Arial"/>
          <w:b/>
          <w:bCs/>
          <w:color w:val="1A1A2E"/>
          <w:sz w:val="22"/>
          <w:szCs w:val="22"/>
        </w:rPr>
        <w:t xml:space="preserve">Every block cites its authority. </w:t>
      </w:r>
      <w:r>
        <w:rPr>
          <w:rFonts w:ascii="Arial" w:cs="Arial" w:eastAsia="Arial" w:hAnsi="Arial"/>
          <w:color w:val="1A1A2E"/>
          <w:sz w:val="22"/>
          <w:szCs w:val="22"/>
        </w:rPr>
        <w:t xml:space="preserve">The “Authority:” line names the section of the Act and the provision of law it amends, so counsel can go straight to the source.</w:t>
      </w:r>
    </w:p>
    <w:p>
      <w:pPr>
        <w:pStyle w:val="ListParagraph"/>
        <w:numPr>
          <w:ilvl w:val="0"/>
          <w:numId w:val="2"/>
        </w:numPr>
        <w:spacing w:after="60" w:line="336"/>
      </w:pPr>
      <w:r>
        <w:rPr>
          <w:rFonts w:ascii="Arial" w:cs="Arial" w:eastAsia="Arial" w:hAnsi="Arial"/>
          <w:color w:val="1A1A2E"/>
          <w:sz w:val="22"/>
          <w:szCs w:val="22"/>
        </w:rPr>
        <w:t xml:space="preserve">Amending an Administrative Plan is a formal act. Follow your own amendment process — board adoption, and where the change is significant, resident advisory board consultation, public notice, and a hearing. Adopting the language below without that process does not change your policy.</w:t>
      </w:r>
    </w:p>
    <w:p>
      <w:pPr>
        <w:pStyle w:val="Heading1"/>
        <w:keepNext/>
        <w:spacing w:after="110" w:before="300" w:line="276"/>
      </w:pPr>
      <w:r>
        <w:rPr>
          <w:rFonts w:ascii="Arial" w:cs="Arial" w:eastAsia="Arial" w:hAnsi="Arial"/>
          <w:b/>
          <w:bCs/>
          <w:color w:val="154360"/>
          <w:sz w:val="26"/>
          <w:szCs w:val="26"/>
        </w:rPr>
        <w:t xml:space="preserve">1. Inspections performed under other housing programs</w:t>
      </w:r>
    </w:p>
    <w:p>
      <w:pPr>
        <w:spacing w:after="120" w:line="336"/>
      </w:pPr>
      <w:r>
        <w:rPr>
          <w:rFonts w:ascii="Arial" w:cs="Arial" w:eastAsia="Arial" w:hAnsi="Arial"/>
          <w:color w:val="1A1A2E"/>
          <w:sz w:val="22"/>
          <w:szCs w:val="22"/>
        </w:rPr>
        <w:t xml:space="preserve">Sec. 405(a) is a deeming rule, not an agency option. A dwelling unit "shall be deemed" to meet the voucher inspection requirement in three cases — low-income housing tax credit buildings, HOME-assisted units, and units assisted by USDA’s Rural Housing Service — when the inspection happened during the preceding 12-month period, the unit passed, and the PHA is able to obtain the results (or, for tax-credit buildings, performed the inspection itself). When those conditions are met the deeming operates by statute. The agency’s real decisions sit around the edges: how it documents "able to obtain the results," what data-sharing it puts in place, and how it keeps records — and the PHA keeps its full authority to inspect any unit at any time.</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“(I) Satisfaction of inspection requirements through participation in other housing programs.-- “(i) Low-income housing tax credit-financed buildings.--A dwelling unit shall be deemed to meet the inspection requirements under this paragraph if--</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“(II) the dwelling unit, during the preceding 12-month period, was physically inspected and satisfied the suitability-for-occupancy requirement in section 42(i)(3)(B)(ii) of such Code; and “(III) the applicable public housing agency performed the inspection itself or is able to obtain the results of the inspection described in subclause (II).</w:t>
            </w:r>
          </w:p>
        </w:tc>
      </w:tr>
    </w:tbl>
    <w:p>
      <w:pPr>
        <w:spacing w:after="160" w:before="0"/>
      </w:pPr>
      <w:r>
        <w:rPr>
          <w:rFonts w:ascii="Arial" w:cs="Arial" w:eastAsia="Arial" w:hAnsi="Arial"/>
          <w:color w:val="1A1A2E"/>
          <w:sz w:val="4"/>
          <w:szCs w:val="4"/>
        </w:rPr>
        <w:t xml:space="preserve"/>
      </w:r>
    </w:p>
    <w:p>
      <w:pPr>
        <w:keepNext/>
        <w:spacing w:after="40" w:before="60" w:line="240"/>
      </w:pPr>
      <w:r>
        <w:rPr>
          <w:rFonts w:ascii="Arial" w:cs="Arial" w:eastAsia="Arial" w:hAnsi="Arial"/>
          <w:b/>
          <w:bCs/>
          <w:color w:val="A66A15"/>
          <w:spacing w:val="30"/>
          <w:sz w:val="16"/>
          <w:szCs w:val="16"/>
        </w:rPr>
        <w:t xml:space="preserve">MODEL ADMINISTRATIVE PLAN LANGUAGE</w:t>
      </w:r>
    </w:p>
    <w:p>
      <w:pPr>
        <w:spacing w:after="100" w:line="264"/>
      </w:pPr>
      <w:r>
        <w:rPr>
          <w:rFonts w:ascii="Arial" w:cs="Arial" w:eastAsia="Arial" w:hAnsi="Arial"/>
          <w:color w:val="1A1A2E"/>
          <w:sz w:val="22"/>
          <w:szCs w:val="22"/>
        </w:rPr>
        <w:t xml:space="preserve">Insert at [Chapter 8 / Chapter 10 — “Housing Quality Standards and Inspections”], as a new section following the PHA’s general inspection policy.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b/>
                <w:bCs/>
                <w:color w:val="154360"/>
                <w:sz w:val="22"/>
                <w:szCs w:val="22"/>
              </w:rPr>
              <w:t xml:space="preserve">[__.__] Inspections performed under other housing programs.</w:t>
            </w:r>
          </w:p>
          <w:p>
            <w:pPr>
              <w:spacing w:after="100" w:line="288"/>
            </w:pPr>
            <w:r>
              <w:rPr>
                <w:rFonts w:ascii="Arial" w:cs="Arial" w:eastAsia="Arial" w:hAnsi="Arial"/>
                <w:color w:val="1A1A2E"/>
                <w:sz w:val="22"/>
                <w:szCs w:val="22"/>
              </w:rPr>
              <w:t xml:space="preserve">As provided by section 8(o)(8)(I) of the United States Housing Act of 1937, a dwelling unit is deemed to meet the PHA’s initial and biennial inspection requirements — without a separate PHA inspection — when one of the following is true:</w:t>
            </w:r>
          </w:p>
          <w:p>
            <w:pPr>
              <w:spacing w:after="100" w:line="288"/>
            </w:pPr>
            <w:r>
              <w:rPr>
                <w:rFonts w:ascii="Arial" w:cs="Arial" w:eastAsia="Arial" w:hAnsi="Arial"/>
                <w:color w:val="1A1A2E"/>
                <w:sz w:val="22"/>
                <w:szCs w:val="22"/>
              </w:rPr>
              <w:t xml:space="preserve">(a) Low-income housing tax credit. The unit is in a building whose acquisition, rehabilitation, or construction was done by a building owner who may be eligible for low-income housing credits because the building was allocated a housing credit dollar amount under section 42(h) of the Internal Revenue Code of 1986, or is described in section 42(h)(4) of that Code; the unit was physically inspected during the preceding 12-month period and satisfied the suitability-for-occupancy requirement in section 42(i)(3)(B)(ii) of that Code; and the PHA performed that inspection itself or is able to obtain its results.</w:t>
            </w:r>
          </w:p>
          <w:p>
            <w:pPr>
              <w:spacing w:after="100" w:line="288"/>
            </w:pPr>
            <w:r>
              <w:rPr>
                <w:rFonts w:ascii="Arial" w:cs="Arial" w:eastAsia="Arial" w:hAnsi="Arial"/>
                <w:color w:val="1A1A2E"/>
                <w:sz w:val="22"/>
                <w:szCs w:val="22"/>
              </w:rPr>
              <w:t xml:space="preserve">(b) HOME Investment Partnerships Program. The unit is assisted under the HOME Investment Partnerships Program; it was physically inspected and passed inspection as part of that program during the preceding 12-month period; and the PHA is able to obtain the results.</w:t>
            </w:r>
          </w:p>
          <w:p>
            <w:pPr>
              <w:spacing w:after="100" w:line="288"/>
            </w:pPr>
            <w:r>
              <w:rPr>
                <w:rFonts w:ascii="Arial" w:cs="Arial" w:eastAsia="Arial" w:hAnsi="Arial"/>
                <w:color w:val="1A1A2E"/>
                <w:sz w:val="22"/>
                <w:szCs w:val="22"/>
              </w:rPr>
              <w:t xml:space="preserve">(c) Rural Housing Service. The unit is assisted by the Rural Housing Service of the U.S. Department of Agriculture; it was physically inspected and passed inspection in connection with that assistance during the preceding 12-month period; and the PHA is able to obtain the results.</w:t>
            </w:r>
          </w:p>
          <w:p>
            <w:pPr>
              <w:spacing w:after="100" w:line="288"/>
            </w:pPr>
            <w:r>
              <w:rPr>
                <w:rFonts w:ascii="Arial" w:cs="Arial" w:eastAsia="Arial" w:hAnsi="Arial"/>
                <w:b/>
                <w:bCs/>
                <w:color w:val="1A1A2E"/>
                <w:sz w:val="22"/>
                <w:szCs w:val="22"/>
              </w:rPr>
              <w:t xml:space="preserve">When the PHA is “able to obtain the results.” </w:t>
            </w:r>
            <w:r>
              <w:rPr>
                <w:rFonts w:ascii="Arial" w:cs="Arial" w:eastAsia="Arial" w:hAnsi="Arial"/>
                <w:color w:val="1A1A2E"/>
                <w:sz w:val="22"/>
                <w:szCs w:val="22"/>
              </w:rPr>
              <w:t xml:space="preserve">The PHA will treat this condition as met when it holds [a copy of the inspection report / a written certification from the inspecting agency identifying the unit, the inspection date and the outcome / access to an electronic system of record maintained by the inspecting agency]. The PHA will request that documentation from [the State housing finance agency for tax credit properties, the participating jurisdiction for HOME units, and the USDA Rural Development State office for Rural Housing Service units] and will retain it in the unit file for [3 / 5 / ____] years.</w:t>
            </w:r>
          </w:p>
          <w:p>
            <w:pPr>
              <w:spacing w:after="0" w:line="288"/>
            </w:pPr>
            <w:r>
              <w:rPr>
                <w:rFonts w:ascii="Arial" w:cs="Arial" w:eastAsia="Arial" w:hAnsi="Arial"/>
                <w:b/>
                <w:bCs/>
                <w:color w:val="1A1A2E"/>
                <w:sz w:val="22"/>
                <w:szCs w:val="22"/>
              </w:rPr>
              <w:t xml:space="preserve">What this does not change. </w:t>
            </w:r>
            <w:r>
              <w:rPr>
                <w:rFonts w:ascii="Arial" w:cs="Arial" w:eastAsia="Arial" w:hAnsi="Arial"/>
                <w:color w:val="1A1A2E"/>
                <w:sz w:val="22"/>
                <w:szCs w:val="22"/>
              </w:rPr>
              <w:t xml:space="preserve">The deeming under this section does not relieve the owner of the obligation to maintain the unit, does not limit the PHA’s authority to inspect a unit at any time — including quality-control, complaint, and special inspections — and does not change the requirements of the other program.</w:t>
            </w:r>
          </w:p>
        </w:tc>
      </w:tr>
    </w:tbl>
    <w:p>
      <w:pPr>
        <w:spacing w:after="140" w:before="80" w:line="264"/>
      </w:pPr>
      <w:r>
        <w:rPr>
          <w:rFonts w:ascii="Arial" w:cs="Arial" w:eastAsia="Arial" w:hAnsi="Arial"/>
          <w:b/>
          <w:bCs/>
          <w:color w:val="1B4F72"/>
          <w:sz w:val="18"/>
          <w:szCs w:val="18"/>
        </w:rPr>
        <w:t xml:space="preserve">Authority: </w:t>
      </w:r>
      <w:r>
        <w:rPr>
          <w:rFonts w:ascii="Arial" w:cs="Arial" w:eastAsia="Arial" w:hAnsi="Arial"/>
          <w:color w:val="4B5563"/>
          <w:sz w:val="18"/>
          <w:szCs w:val="18"/>
        </w:rPr>
        <w:t xml:space="preserve">Sec. 405(a), 21st Century ROAD to Housing Act, Pub. L. 119-101 (July 11, 2026), adding section 8(o)(8)(I) to the United States Housing Act of 1937 (42 U.S.C. 1437f(o)(8)). Clause (v) of the new subparagraph provides that nothing in clauses (i)–(iv) affects the operation of the other housing programs.</w:t>
      </w:r>
    </w:p>
    <w:p>
      <w:pPr>
        <w:spacing w:after="180" w:before="0" w:line="264"/>
      </w:pPr>
      <w:r>
        <w:rPr>
          <w:rFonts w:ascii="Arial" w:cs="Arial" w:eastAsia="Arial" w:hAnsi="Arial"/>
          <w:b/>
          <w:bCs/>
          <w:color w:val="A66A15"/>
          <w:sz w:val="18"/>
          <w:szCs w:val="18"/>
        </w:rPr>
        <w:t xml:space="preserve">HUD guidance: </w:t>
      </w:r>
      <w:r>
        <w:rPr>
          <w:rFonts w:ascii="Arial" w:cs="Arial" w:eastAsia="Arial" w:hAnsi="Arial"/>
          <w:color w:val="4B5563"/>
          <w:sz w:val="18"/>
          <w:szCs w:val="18"/>
        </w:rPr>
        <w:t xml:space="preserve">No PIH notice or 24 CFR part 982 change as of August 29, 2026. Whether HUD will prescribe a documentation standard for “able to obtain the results” is not yet known — the bracketed options above are the agency’s own choice until it does. Drafting note: unlike the older HOTMA-era alternative-inspection provisions, which are PHA elections, new subparagraph (I) is drafted as automatic deeming ("shall be deemed") — a plan that purports to decline it conflicts with the statute. An agency with concerns should rely on its retained authority to inspect any unit at any time, not on a decline clause.</w:t>
      </w:r>
    </w:p>
    <w:p>
      <w:pPr>
        <w:pStyle w:val="Heading1"/>
        <w:keepNext/>
        <w:spacing w:after="110" w:before="300" w:line="276"/>
      </w:pPr>
      <w:r>
        <w:rPr>
          <w:rFonts w:ascii="Arial" w:cs="Arial" w:eastAsia="Arial" w:hAnsi="Arial"/>
          <w:b/>
          <w:bCs/>
          <w:color w:val="154360"/>
          <w:sz w:val="26"/>
          <w:szCs w:val="26"/>
        </w:rPr>
        <w:t xml:space="preserve">2. Remote or video inspections in rural or small areas</w:t>
      </w:r>
    </w:p>
    <w:p>
      <w:pPr>
        <w:spacing w:after="120" w:line="336"/>
      </w:pPr>
      <w:r>
        <w:rPr>
          <w:rFonts w:ascii="Arial" w:cs="Arial" w:eastAsia="Arial" w:hAnsi="Arial"/>
          <w:color w:val="1A1A2E"/>
          <w:sz w:val="22"/>
          <w:szCs w:val="22"/>
        </w:rPr>
        <w:t xml:space="preserve">This provision is written as authority for the Secretary, not for the agency: HUD “may allow” a grantee to conduct a remote or video inspection, and the statute does not define “rural or small area”. Until HUD allows it, a PHA cannot adopt an operative remote-inspection policy under Sec. 405. The language below is drafted so a board can approve the framework now and have it take effect when HUD acts.</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“(iv) Remote or video inspections.--When complying with inspection requirements for a housing unit located in a rural or small area using assistance under this section, the Secretary may allow a grantee to conduct a remote or video inspection of a unit if the remote or video inspection-- “(I) is thorough; “(II) does not misrepresent the condition of the unit; and “(III) provides the information necessary to fully and accurately evaluate the conditions of the unit to ensure that the unit meets the relevant standards.</w:t>
            </w:r>
          </w:p>
        </w:tc>
      </w:tr>
    </w:tbl>
    <w:p>
      <w:pPr>
        <w:spacing w:after="160" w:before="0"/>
      </w:pPr>
      <w:r>
        <w:rPr>
          <w:rFonts w:ascii="Arial" w:cs="Arial" w:eastAsia="Arial" w:hAnsi="Arial"/>
          <w:color w:val="1A1A2E"/>
          <w:sz w:val="4"/>
          <w:szCs w:val="4"/>
        </w:rPr>
        <w:t xml:space="preserve"/>
      </w:r>
    </w:p>
    <w:p>
      <w:pPr>
        <w:keepNext/>
        <w:spacing w:after="40" w:before="60" w:line="240"/>
      </w:pPr>
      <w:r>
        <w:rPr>
          <w:rFonts w:ascii="Arial" w:cs="Arial" w:eastAsia="Arial" w:hAnsi="Arial"/>
          <w:b/>
          <w:bCs/>
          <w:color w:val="A66A15"/>
          <w:spacing w:val="30"/>
          <w:sz w:val="16"/>
          <w:szCs w:val="16"/>
        </w:rPr>
        <w:t xml:space="preserve">MODEL ADMINISTRATIVE PLAN LANGUAGE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b/>
                <w:bCs/>
                <w:color w:val="154360"/>
                <w:sz w:val="22"/>
                <w:szCs w:val="22"/>
              </w:rPr>
              <w:t xml:space="preserve">[__.__] Remote or video inspections.</w:t>
            </w:r>
          </w:p>
          <w:p>
            <w:pPr>
              <w:spacing w:after="100" w:line="288"/>
            </w:pPr>
            <w:r>
              <w:rPr>
                <w:rFonts w:ascii="Arial" w:cs="Arial" w:eastAsia="Arial" w:hAnsi="Arial"/>
                <w:color w:val="1A1A2E"/>
                <w:sz w:val="22"/>
                <w:szCs w:val="22"/>
              </w:rPr>
              <w:t xml:space="preserve">This section takes effect only if and when HUD authorizes remote or video inspections under section 8(o)(8)(I)(iv) of the United States Housing Act of 1937, and only for units located in an area HUD identifies as a rural or small area. Until then the PHA will perform all inspections in person.</w:t>
            </w:r>
          </w:p>
          <w:p>
            <w:pPr>
              <w:spacing w:after="100" w:line="288"/>
            </w:pPr>
            <w:r>
              <w:rPr>
                <w:rFonts w:ascii="Arial" w:cs="Arial" w:eastAsia="Arial" w:hAnsi="Arial"/>
                <w:b/>
                <w:bCs/>
                <w:color w:val="1A1A2E"/>
                <w:sz w:val="22"/>
                <w:szCs w:val="22"/>
              </w:rPr>
              <w:t xml:space="preserve">Standards. </w:t>
            </w:r>
            <w:r>
              <w:rPr>
                <w:rFonts w:ascii="Arial" w:cs="Arial" w:eastAsia="Arial" w:hAnsi="Arial"/>
                <w:color w:val="1A1A2E"/>
                <w:sz w:val="22"/>
                <w:szCs w:val="22"/>
              </w:rPr>
              <w:t xml:space="preserve">A remote or video inspection conducted by the PHA will be thorough, will not misrepresent the condition of the unit, and will provide the information necessary to fully and accurately evaluate the conditions of the unit to ensure that the unit meets the relevant standards.</w:t>
            </w:r>
          </w:p>
          <w:p>
            <w:pPr>
              <w:spacing w:after="100" w:line="288"/>
            </w:pPr>
            <w:r>
              <w:rPr>
                <w:rFonts w:ascii="Arial" w:cs="Arial" w:eastAsia="Arial" w:hAnsi="Arial"/>
                <w:b/>
                <w:bCs/>
                <w:color w:val="1A1A2E"/>
                <w:sz w:val="22"/>
                <w:szCs w:val="22"/>
              </w:rPr>
              <w:t xml:space="preserve">How the PHA will meet those standards. </w:t>
            </w:r>
            <w:r>
              <w:rPr>
                <w:rFonts w:ascii="Arial" w:cs="Arial" w:eastAsia="Arial" w:hAnsi="Arial"/>
                <w:color w:val="1A1A2E"/>
                <w:sz w:val="22"/>
                <w:szCs w:val="22"/>
              </w:rPr>
              <w:t xml:space="preserve">[Describe the agency’s method: live two-way video directed by a PHA inspector rather than recorded or submitted footage; minimum image quality and lighting; a required room-by-room sequence following the PHA’s inspection checklist; who may operate the camera; whether the session is recorded and for how long the recording is retained; and how the inspector documents the result.]</w:t>
            </w:r>
          </w:p>
          <w:p>
            <w:pPr>
              <w:spacing w:after="100" w:line="288"/>
            </w:pPr>
            <w:r>
              <w:rPr>
                <w:rFonts w:ascii="Arial" w:cs="Arial" w:eastAsia="Arial" w:hAnsi="Arial"/>
                <w:b/>
                <w:bCs/>
                <w:color w:val="1A1A2E"/>
                <w:sz w:val="22"/>
                <w:szCs w:val="22"/>
              </w:rPr>
              <w:t xml:space="preserve">When the PHA will not inspect remotely. </w:t>
            </w:r>
            <w:r>
              <w:rPr>
                <w:rFonts w:ascii="Arial" w:cs="Arial" w:eastAsia="Arial" w:hAnsi="Arial"/>
                <w:color w:val="1A1A2E"/>
                <w:sz w:val="22"/>
                <w:szCs w:val="22"/>
              </w:rPr>
              <w:t xml:space="preserve">[List the exclusions the agency chooses — for example: initial inspections; units with a life-threatening deficiency identified in the previous inspection; units where the connection quality is inadequate; units where the family or the owner asks for an in-person inspection.]</w:t>
            </w:r>
          </w:p>
          <w:p>
            <w:pPr>
              <w:spacing w:after="100" w:line="288"/>
            </w:pPr>
            <w:r>
              <w:rPr>
                <w:rFonts w:ascii="Arial" w:cs="Arial" w:eastAsia="Arial" w:hAnsi="Arial"/>
                <w:b/>
                <w:bCs/>
                <w:color w:val="1A1A2E"/>
                <w:sz w:val="22"/>
                <w:szCs w:val="22"/>
              </w:rPr>
              <w:t xml:space="preserve">Reasonable accommodation and language access. </w:t>
            </w:r>
            <w:r>
              <w:rPr>
                <w:rFonts w:ascii="Arial" w:cs="Arial" w:eastAsia="Arial" w:hAnsi="Arial"/>
                <w:color w:val="1A1A2E"/>
                <w:sz w:val="22"/>
                <w:szCs w:val="22"/>
              </w:rPr>
              <w:t xml:space="preserve">A family or owner may request an in-person inspection as a reasonable accommodation, and the PHA will [grant / consider] that request under its Section 504 and reasonable accommodation policy. The PHA will provide [interpretation / translated instructions] consistent with its language access plan.</w:t>
            </w:r>
          </w:p>
          <w:p>
            <w:pPr>
              <w:spacing w:after="0" w:line="288"/>
            </w:pPr>
            <w:r>
              <w:rPr>
                <w:rFonts w:ascii="Arial" w:cs="Arial" w:eastAsia="Arial" w:hAnsi="Arial"/>
                <w:b/>
                <w:bCs/>
                <w:color w:val="1A1A2E"/>
                <w:sz w:val="22"/>
                <w:szCs w:val="22"/>
              </w:rPr>
              <w:t xml:space="preserve">Review. </w:t>
            </w:r>
            <w:r>
              <w:rPr>
                <w:rFonts w:ascii="Arial" w:cs="Arial" w:eastAsia="Arial" w:hAnsi="Arial"/>
                <w:color w:val="1A1A2E"/>
                <w:sz w:val="22"/>
                <w:szCs w:val="22"/>
              </w:rPr>
              <w:t xml:space="preserve">The PHA will review this section within [90 / 180] days of the date HUD authorizes remote or video inspections, and conform it to HUD’s instructions.</w:t>
            </w:r>
          </w:p>
        </w:tc>
      </w:tr>
    </w:tbl>
    <w:p>
      <w:pPr>
        <w:spacing w:after="140" w:before="80" w:line="264"/>
      </w:pPr>
      <w:r>
        <w:rPr>
          <w:rFonts w:ascii="Arial" w:cs="Arial" w:eastAsia="Arial" w:hAnsi="Arial"/>
          <w:b/>
          <w:bCs/>
          <w:color w:val="1B4F72"/>
          <w:sz w:val="18"/>
          <w:szCs w:val="18"/>
        </w:rPr>
        <w:t xml:space="preserve">Authority: </w:t>
      </w:r>
      <w:r>
        <w:rPr>
          <w:rFonts w:ascii="Arial" w:cs="Arial" w:eastAsia="Arial" w:hAnsi="Arial"/>
          <w:color w:val="4B5563"/>
          <w:sz w:val="18"/>
          <w:szCs w:val="18"/>
        </w:rPr>
        <w:t xml:space="preserve">Sec. 405(a), 21st Century ROAD to Housing Act, Pub. L. 119-101 (July 11, 2026), adding section 8(o)(8)(I)(iv) to the United States Housing Act of 1937 (42 U.S.C. 1437f(o)(8)).</w:t>
      </w:r>
    </w:p>
    <w:p>
      <w:pPr>
        <w:spacing w:after="180" w:before="0" w:line="264"/>
      </w:pPr>
      <w:r>
        <w:rPr>
          <w:rFonts w:ascii="Arial" w:cs="Arial" w:eastAsia="Arial" w:hAnsi="Arial"/>
          <w:b/>
          <w:bCs/>
          <w:color w:val="A66A15"/>
          <w:sz w:val="18"/>
          <w:szCs w:val="18"/>
        </w:rPr>
        <w:t xml:space="preserve">HUD guidance: </w:t>
      </w:r>
      <w:r>
        <w:rPr>
          <w:rFonts w:ascii="Arial" w:cs="Arial" w:eastAsia="Arial" w:hAnsi="Arial"/>
          <w:color w:val="4B5563"/>
          <w:sz w:val="18"/>
          <w:szCs w:val="18"/>
        </w:rPr>
        <w:t xml:space="preserve">HUD has not allowed remote or video inspections under this clause, has not defined “rural or small area” for this purpose, and has not said whether existing NSPIRE remote-inspection practice satisfies it. Do not represent to owners or families that remote inspections are available.</w:t>
      </w:r>
    </w:p>
    <w:p>
      <w:pPr>
        <w:pStyle w:val="Heading1"/>
        <w:keepNext/>
        <w:spacing w:after="110" w:before="300" w:line="276"/>
      </w:pPr>
      <w:r>
        <w:rPr>
          <w:rFonts w:ascii="Arial" w:cs="Arial" w:eastAsia="Arial" w:hAnsi="Arial"/>
          <w:b/>
          <w:bCs/>
          <w:color w:val="154360"/>
          <w:sz w:val="26"/>
          <w:szCs w:val="26"/>
        </w:rPr>
        <w:t xml:space="preserve">3. Inspection before a unit is leased (new landlords)</w:t>
      </w:r>
    </w:p>
    <w:p>
      <w:pPr>
        <w:spacing w:after="120" w:line="336"/>
      </w:pPr>
      <w:r>
        <w:rPr>
          <w:rFonts w:ascii="Arial" w:cs="Arial" w:eastAsia="Arial" w:hAnsi="Arial"/>
          <w:color w:val="1A1A2E"/>
          <w:sz w:val="22"/>
          <w:szCs w:val="22"/>
        </w:rPr>
        <w:t xml:space="preserve">Sec. 405(b) adds a pre-approval route for owners who have never had a HAP contract with any public housing agency — not just this one. The agency may inspect the unit before any family selects it, and a passing inspection satisfies the initial inspection requirement provided a lease with an assisted family is signed within 60 days of the inspection date. The 60-day window is the operational fact to build the process around; because no national registry of owner HAP history exists, verification runs on the owner’s written certification.</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“(I) Definition.--In this clause, the term `new landlord’ means an owner of a dwelling unit who has not previously entered into a housing assistance payment contract with a public housing agency under this subsection for any dwelling unit.</w:t>
            </w:r>
          </w:p>
        </w:tc>
      </w:tr>
    </w:tbl>
    <w:p>
      <w:pPr>
        <w:spacing w:after="120" w:before="0"/>
      </w:pPr>
      <w:r>
        <w:rPr>
          <w:rFonts w:ascii="Arial" w:cs="Arial" w:eastAsia="Arial" w:hAnsi="Arial"/>
          <w:color w:val="1A1A2E"/>
          <w:sz w:val="4"/>
          <w:szCs w:val="4"/>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“(III) Effect.--An inspection conducted under subclause (II) that determines that the dwelling unit meets the housing quality standards under subparagraph (B) shall satisfy this subparagraph and subparagraph (C) if the new landlord enters into a lease agreement with a tenant assisted under this subsection not later than 60 days after the date of the inspection.</w:t>
            </w:r>
          </w:p>
        </w:tc>
      </w:tr>
    </w:tbl>
    <w:p>
      <w:pPr>
        <w:spacing w:after="160" w:before="0"/>
      </w:pPr>
      <w:r>
        <w:rPr>
          <w:rFonts w:ascii="Arial" w:cs="Arial" w:eastAsia="Arial" w:hAnsi="Arial"/>
          <w:color w:val="1A1A2E"/>
          <w:sz w:val="4"/>
          <w:szCs w:val="4"/>
        </w:rPr>
        <w:t xml:space="preserve"/>
      </w:r>
    </w:p>
    <w:p>
      <w:pPr>
        <w:keepNext/>
        <w:spacing w:after="40" w:before="60" w:line="240"/>
      </w:pPr>
      <w:r>
        <w:rPr>
          <w:rFonts w:ascii="Arial" w:cs="Arial" w:eastAsia="Arial" w:hAnsi="Arial"/>
          <w:b/>
          <w:bCs/>
          <w:color w:val="A66A15"/>
          <w:spacing w:val="30"/>
          <w:sz w:val="16"/>
          <w:szCs w:val="16"/>
        </w:rPr>
        <w:t xml:space="preserve">MODEL ADMINISTRATIVE PLAN LANGUAGE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b/>
                <w:bCs/>
                <w:color w:val="154360"/>
                <w:sz w:val="22"/>
                <w:szCs w:val="22"/>
              </w:rPr>
              <w:t xml:space="preserve">[__.__] Inspection before a unit is leased (new landlords).</w:t>
            </w:r>
          </w:p>
          <w:p>
            <w:pPr>
              <w:spacing w:after="100" w:line="288"/>
            </w:pPr>
            <w:r>
              <w:rPr>
                <w:rFonts w:ascii="Arial" w:cs="Arial" w:eastAsia="Arial" w:hAnsi="Arial"/>
                <w:b/>
                <w:bCs/>
                <w:color w:val="1A1A2E"/>
                <w:sz w:val="22"/>
                <w:szCs w:val="22"/>
              </w:rPr>
              <w:t xml:space="preserve">Definition. </w:t>
            </w:r>
            <w:r>
              <w:rPr>
                <w:rFonts w:ascii="Arial" w:cs="Arial" w:eastAsia="Arial" w:hAnsi="Arial"/>
                <w:color w:val="1A1A2E"/>
                <w:sz w:val="22"/>
                <w:szCs w:val="22"/>
              </w:rPr>
              <w:t xml:space="preserve">“New landlord” means an owner of a dwelling unit who has not previously entered into a housing assistance payment contract with a public housing agency under section 8(o) of the United States Housing Act of 1937 for any dwelling unit.</w:t>
            </w:r>
          </w:p>
          <w:p>
            <w:pPr>
              <w:spacing w:after="100" w:line="288"/>
            </w:pPr>
            <w:r>
              <w:rPr>
                <w:rFonts w:ascii="Arial" w:cs="Arial" w:eastAsia="Arial" w:hAnsi="Arial"/>
                <w:b/>
                <w:bCs/>
                <w:color w:val="1A1A2E"/>
                <w:sz w:val="22"/>
                <w:szCs w:val="22"/>
              </w:rPr>
              <w:t xml:space="preserve">Verification. </w:t>
            </w:r>
            <w:r>
              <w:rPr>
                <w:rFonts w:ascii="Arial" w:cs="Arial" w:eastAsia="Arial" w:hAnsi="Arial"/>
                <w:color w:val="1A1A2E"/>
                <w:sz w:val="22"/>
                <w:szCs w:val="22"/>
              </w:rPr>
              <w:t xml:space="preserve">The owner must certify in writing that the owner has not previously entered into a housing assistance payment contract with any public housing agency under section 8(o) for any dwelling unit. The PHA may rely on that certification absent contrary information, and will check [its own records / portability billing records / any owner information available to it].</w:t>
            </w:r>
          </w:p>
          <w:p>
            <w:pPr>
              <w:spacing w:after="100" w:line="288"/>
            </w:pPr>
            <w:r>
              <w:rPr>
                <w:rFonts w:ascii="Arial" w:cs="Arial" w:eastAsia="Arial" w:hAnsi="Arial"/>
                <w:b/>
                <w:bCs/>
                <w:color w:val="1A1A2E"/>
                <w:sz w:val="22"/>
                <w:szCs w:val="22"/>
              </w:rPr>
              <w:t xml:space="preserve">Requesting an early inspection. </w:t>
            </w:r>
            <w:r>
              <w:rPr>
                <w:rFonts w:ascii="Arial" w:cs="Arial" w:eastAsia="Arial" w:hAnsi="Arial"/>
                <w:color w:val="1A1A2E"/>
                <w:sz w:val="22"/>
                <w:szCs w:val="22"/>
              </w:rPr>
              <w:t xml:space="preserve">On the request of a new landlord, the PHA [will / may] inspect the unit to determine whether it meets housing quality standards before the unit is selected by a family assisted under the voucher program. Requests are made [on form ____ / through the owner portal / in writing to ____]. The PHA will schedule the inspection within [___] business days of a complete request and notify the owner of the result within [___] business days of the inspection.</w:t>
            </w:r>
          </w:p>
          <w:p>
            <w:pPr>
              <w:spacing w:after="100" w:line="288"/>
            </w:pPr>
            <w:r>
              <w:rPr>
                <w:rFonts w:ascii="Arial" w:cs="Arial" w:eastAsia="Arial" w:hAnsi="Arial"/>
                <w:b/>
                <w:bCs/>
                <w:color w:val="1A1A2E"/>
                <w:sz w:val="22"/>
                <w:szCs w:val="22"/>
              </w:rPr>
              <w:t xml:space="preserve">Effect of a passing inspection. </w:t>
            </w:r>
            <w:r>
              <w:rPr>
                <w:rFonts w:ascii="Arial" w:cs="Arial" w:eastAsia="Arial" w:hAnsi="Arial"/>
                <w:color w:val="1A1A2E"/>
                <w:sz w:val="22"/>
                <w:szCs w:val="22"/>
              </w:rPr>
              <w:t xml:space="preserve">An early inspection that determines the unit meets housing quality standards satisfies the PHA’s initial inspection requirement if the new landlord enters into a lease agreement with an assisted family not later than 60 days after the date of the inspection. If the lease is executed more than 60 days after the inspection date, the PHA will conduct a new inspection before making any housing assistance payment.</w:t>
            </w:r>
          </w:p>
          <w:p>
            <w:pPr>
              <w:spacing w:after="100" w:line="288"/>
            </w:pPr>
            <w:r>
              <w:rPr>
                <w:rFonts w:ascii="Arial" w:cs="Arial" w:eastAsia="Arial" w:hAnsi="Arial"/>
                <w:b/>
                <w:bCs/>
                <w:color w:val="1A1A2E"/>
                <w:sz w:val="22"/>
                <w:szCs w:val="22"/>
              </w:rPr>
              <w:t xml:space="preserve">If the unit fails. </w:t>
            </w:r>
            <w:r>
              <w:rPr>
                <w:rFonts w:ascii="Arial" w:cs="Arial" w:eastAsia="Arial" w:hAnsi="Arial"/>
                <w:color w:val="1A1A2E"/>
                <w:sz w:val="22"/>
                <w:szCs w:val="22"/>
              </w:rPr>
              <w:t xml:space="preserve">The PHA will give the owner [a written list of the deficiencies and] the opportunity to correct them and request re-inspection. [State whether the PHA limits the number of re-inspections, and any fee the PHA does or does not charge.]</w:t>
            </w:r>
          </w:p>
          <w:p>
            <w:pPr>
              <w:spacing w:after="100" w:line="288"/>
            </w:pPr>
            <w:r>
              <w:rPr>
                <w:rFonts w:ascii="Arial" w:cs="Arial" w:eastAsia="Arial" w:hAnsi="Arial"/>
                <w:b/>
                <w:bCs/>
                <w:color w:val="1A1A2E"/>
                <w:sz w:val="22"/>
                <w:szCs w:val="22"/>
              </w:rPr>
              <w:t xml:space="preserve">Capacity limits. </w:t>
            </w:r>
            <w:r>
              <w:rPr>
                <w:rFonts w:ascii="Arial" w:cs="Arial" w:eastAsia="Arial" w:hAnsi="Arial"/>
                <w:color w:val="1A1A2E"/>
                <w:sz w:val="22"/>
                <w:szCs w:val="22"/>
              </w:rPr>
              <w:t xml:space="preserve">[Optional: The PHA will accept up to ___ early-inspection requests per owner per [month / year], and will suspend early inspections when its inspection backlog exceeds ___ days, giving priority to inspections required for a family to lease up.]</w:t>
            </w:r>
          </w:p>
          <w:p>
            <w:pPr>
              <w:spacing w:after="100" w:line="288"/>
            </w:pPr>
            <w:r>
              <w:rPr>
                <w:rFonts w:ascii="Arial" w:cs="Arial" w:eastAsia="Arial" w:hAnsi="Arial"/>
                <w:b/>
                <w:bCs/>
                <w:color w:val="1A1A2E"/>
                <w:sz w:val="22"/>
                <w:szCs w:val="22"/>
              </w:rPr>
              <w:t xml:space="preserve">Records. </w:t>
            </w:r>
            <w:r>
              <w:rPr>
                <w:rFonts w:ascii="Arial" w:cs="Arial" w:eastAsia="Arial" w:hAnsi="Arial"/>
                <w:color w:val="1A1A2E"/>
                <w:sz w:val="22"/>
                <w:szCs w:val="22"/>
              </w:rPr>
              <w:t xml:space="preserve">The PHA will record for each early inspection the owner, the unit, the inspection date, the result, and the date the 60-day window closes.</w:t>
            </w:r>
          </w:p>
          <w:p>
            <w:pPr>
              <w:spacing w:after="0" w:line="288"/>
            </w:pPr>
            <w:r>
              <w:rPr>
                <w:rFonts w:ascii="Arial" w:cs="Arial" w:eastAsia="Arial" w:hAnsi="Arial"/>
                <w:b/>
                <w:bCs/>
                <w:color w:val="1A1A2E"/>
                <w:sz w:val="22"/>
                <w:szCs w:val="22"/>
              </w:rPr>
              <w:t xml:space="preserve">[Optional — owners with prior HAP experience: </w:t>
            </w:r>
            <w:r>
              <w:rPr>
                <w:rFonts w:ascii="Arial" w:cs="Arial" w:eastAsia="Arial" w:hAnsi="Arial"/>
                <w:color w:val="1A1A2E"/>
                <w:sz w:val="22"/>
                <w:szCs w:val="22"/>
              </w:rPr>
              <w:t xml:space="preserve">The PHA may also inspect a unit before selection at the request of an owner who does not meet the definition of new landlord, as a local courtesy. The 60-day statutory effect in this section does not apply to those inspections, and the PHA will conduct its standard tenancy-approval inspection before executing a HAP contract.]</w:t>
            </w:r>
          </w:p>
        </w:tc>
      </w:tr>
    </w:tbl>
    <w:p>
      <w:pPr>
        <w:spacing w:after="140" w:before="80" w:line="264"/>
      </w:pPr>
      <w:r>
        <w:rPr>
          <w:rFonts w:ascii="Arial" w:cs="Arial" w:eastAsia="Arial" w:hAnsi="Arial"/>
          <w:b/>
          <w:bCs/>
          <w:color w:val="1B4F72"/>
          <w:sz w:val="18"/>
          <w:szCs w:val="18"/>
        </w:rPr>
        <w:t xml:space="preserve">Authority: </w:t>
      </w:r>
      <w:r>
        <w:rPr>
          <w:rFonts w:ascii="Arial" w:cs="Arial" w:eastAsia="Arial" w:hAnsi="Arial"/>
          <w:color w:val="4B5563"/>
          <w:sz w:val="18"/>
          <w:szCs w:val="18"/>
        </w:rPr>
        <w:t xml:space="preserve">Sec. 405(b), 21st Century ROAD to Housing Act, Pub. L. 119-101 (July 11, 2026), adding clause (iv) to section 8(o)(8)(A) of the United States Housing Act of 1937 (42 U.S.C. 1437f(o)(8)(A)).</w:t>
      </w:r>
    </w:p>
    <w:p>
      <w:pPr>
        <w:spacing w:after="180" w:before="0" w:line="264"/>
      </w:pPr>
      <w:r>
        <w:rPr>
          <w:rFonts w:ascii="Arial" w:cs="Arial" w:eastAsia="Arial" w:hAnsi="Arial"/>
          <w:b/>
          <w:bCs/>
          <w:color w:val="A66A15"/>
          <w:sz w:val="18"/>
          <w:szCs w:val="18"/>
        </w:rPr>
        <w:t xml:space="preserve">HUD guidance: </w:t>
      </w:r>
      <w:r>
        <w:rPr>
          <w:rFonts w:ascii="Arial" w:cs="Arial" w:eastAsia="Arial" w:hAnsi="Arial"/>
          <w:color w:val="4B5563"/>
          <w:sz w:val="18"/>
          <w:szCs w:val="18"/>
        </w:rPr>
        <w:t xml:space="preserve">No HUD form, notice, or system change for early inspections as of August 29, 2026. The request mechanics, timeframes and capacity limits above are agency choices, not HUD requirements.</w:t>
      </w:r>
    </w:p>
    <w:p>
      <w:pPr>
        <w:pStyle w:val="Heading1"/>
        <w:keepNext/>
        <w:spacing w:after="110" w:before="300" w:line="276"/>
      </w:pPr>
      <w:r>
        <w:rPr>
          <w:rFonts w:ascii="Arial" w:cs="Arial" w:eastAsia="Arial" w:hAnsi="Arial"/>
          <w:b/>
          <w:bCs/>
          <w:color w:val="154360"/>
          <w:sz w:val="26"/>
          <w:szCs w:val="26"/>
        </w:rPr>
        <w:t xml:space="preserve">4. The list of pre-inspected units given to newly selected families</w:t>
      </w:r>
    </w:p>
    <w:p>
      <w:pPr>
        <w:spacing w:after="120" w:line="336"/>
      </w:pPr>
      <w:r>
        <w:rPr>
          <w:rFonts w:ascii="Arial" w:cs="Arial" w:eastAsia="Arial" w:hAnsi="Arial"/>
          <w:color w:val="1A1A2E"/>
          <w:sz w:val="22"/>
          <w:szCs w:val="22"/>
        </w:rPr>
        <w:t xml:space="preserve">This clause is a direct command to the PHA: when the agency selects a family to participate, it "shall include" in the information given to that family a list of the units inspected under the early-inspection clause that were found to meet housing quality standards. (It is one of two non-optional parts of Sec. 405, alongside the automatic deeming in section 1 above; only the early-inspection offer itself and HUD’s remote-inspection authority are discretionary.) It should be built into the briefing packet, not handled ad hoc.</w:t>
      </w:r>
    </w:p>
    <w:p>
      <w:pPr>
        <w:keepNext/>
        <w:spacing w:after="40" w:before="60" w:line="240"/>
      </w:pPr>
      <w:r>
        <w:rPr>
          <w:rFonts w:ascii="Arial" w:cs="Arial" w:eastAsia="Arial" w:hAnsi="Arial"/>
          <w:b/>
          <w:bCs/>
          <w:color w:val="A66A15"/>
          <w:spacing w:val="30"/>
          <w:sz w:val="16"/>
          <w:szCs w:val="16"/>
        </w:rPr>
        <w:t xml:space="preserve">WHAT THE STATUTE SAYS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5DADE2" w:sz="24"/>
              <w:bottom w:val="single" w:color="DDE3EA" w:sz="4"/>
              <w:right w:val="single" w:color="DDE3EA" w:sz="4"/>
            </w:tcBorders>
            <w:shd w:fill="E9F3FB" w:color="auto" w:val="clear"/>
            <w:tcMar>
              <w:top w:type="dxa" w:w="140"/>
              <w:left w:type="dxa" w:w="180"/>
              <w:bottom w:type="dxa" w:w="140"/>
              <w:right w:type="dxa" w:w="180"/>
            </w:tcMar>
            <w:vAlign w:val="top"/>
          </w:tcPr>
          <w:p>
            <w:pPr>
              <w:spacing w:after="0" w:line="288"/>
            </w:pPr>
            <w:r>
              <w:rPr>
                <w:rFonts w:ascii="Arial" w:cs="Arial" w:eastAsia="Arial" w:hAnsi="Arial"/>
                <w:i/>
                <w:iCs/>
                <w:color w:val="154360"/>
                <w:sz w:val="22"/>
                <w:szCs w:val="22"/>
              </w:rPr>
              <w:t xml:space="preserve">“(IV) Information when family is selected.--When a public housing agency selects a family to participate in the tenant-based assistance program under this subsection, the public housing agency shall include in the information provided to the family a list of dwelling units that have been inspected under subclause (II) and determined to meet the housing quality standards under subparagraph (B).</w:t>
            </w:r>
          </w:p>
        </w:tc>
      </w:tr>
    </w:tbl>
    <w:p>
      <w:pPr>
        <w:spacing w:after="160" w:before="0"/>
      </w:pPr>
      <w:r>
        <w:rPr>
          <w:rFonts w:ascii="Arial" w:cs="Arial" w:eastAsia="Arial" w:hAnsi="Arial"/>
          <w:color w:val="1A1A2E"/>
          <w:sz w:val="4"/>
          <w:szCs w:val="4"/>
        </w:rPr>
        <w:t xml:space="preserve"/>
      </w:r>
    </w:p>
    <w:p>
      <w:pPr>
        <w:keepNext/>
        <w:spacing w:after="40" w:before="60" w:line="240"/>
      </w:pPr>
      <w:r>
        <w:rPr>
          <w:rFonts w:ascii="Arial" w:cs="Arial" w:eastAsia="Arial" w:hAnsi="Arial"/>
          <w:b/>
          <w:bCs/>
          <w:color w:val="A66A15"/>
          <w:spacing w:val="30"/>
          <w:sz w:val="16"/>
          <w:szCs w:val="16"/>
        </w:rPr>
        <w:t xml:space="preserve">MODEL ADMINISTRATIVE PLAN LANGUAGE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val="false"/>
        </w:trPr>
        <w:tc>
          <w:tcPr>
            <w:tcW w:type="dxa" w:w="10080"/>
            <w:tcBorders>
              <w:top w:val="single" w:color="DDE3EA" w:sz="4"/>
              <w:left w:val="single" w:color="1B4F72" w:sz="24"/>
              <w:bottom w:val="single" w:color="DDE3EA" w:sz="4"/>
              <w:right w:val="single" w:color="DDE3EA" w:sz="4"/>
            </w:tcBorders>
            <w:shd w:fill="F7F9FB" w:color="auto" w:val="clear"/>
            <w:tcMar>
              <w:top w:type="dxa" w:w="140"/>
              <w:left w:type="dxa" w:w="180"/>
              <w:bottom w:type="dxa" w:w="140"/>
              <w:right w:type="dxa" w:w="180"/>
            </w:tcMar>
            <w:vAlign w:val="top"/>
          </w:tcPr>
          <w:p>
            <w:pPr>
              <w:spacing w:after="100" w:line="288"/>
            </w:pPr>
            <w:r>
              <w:rPr>
                <w:rFonts w:ascii="Arial" w:cs="Arial" w:eastAsia="Arial" w:hAnsi="Arial"/>
                <w:b/>
                <w:bCs/>
                <w:color w:val="154360"/>
                <w:sz w:val="22"/>
                <w:szCs w:val="22"/>
              </w:rPr>
              <w:t xml:space="preserve">[__.__] List of pre-inspected units provided at family selection.</w:t>
            </w:r>
          </w:p>
          <w:p>
            <w:pPr>
              <w:spacing w:after="100" w:line="288"/>
            </w:pPr>
            <w:r>
              <w:rPr>
                <w:rFonts w:ascii="Arial" w:cs="Arial" w:eastAsia="Arial" w:hAnsi="Arial"/>
                <w:color w:val="1A1A2E"/>
                <w:sz w:val="22"/>
                <w:szCs w:val="22"/>
              </w:rPr>
              <w:t xml:space="preserve">When the PHA selects a family to participate in the tenant-based voucher program, the PHA will include in the information provided to the family a list of dwelling units that have been inspected at a new landlord’s request under section [__.__] above and determined to meet housing quality standards.</w:t>
            </w:r>
          </w:p>
          <w:p>
            <w:pPr>
              <w:spacing w:after="100" w:line="288"/>
            </w:pPr>
            <w:r>
              <w:rPr>
                <w:rFonts w:ascii="Arial" w:cs="Arial" w:eastAsia="Arial" w:hAnsi="Arial"/>
                <w:b/>
                <w:bCs/>
                <w:color w:val="1A1A2E"/>
                <w:sz w:val="22"/>
                <w:szCs w:val="22"/>
              </w:rPr>
              <w:t xml:space="preserve">Contents. </w:t>
            </w:r>
            <w:r>
              <w:rPr>
                <w:rFonts w:ascii="Arial" w:cs="Arial" w:eastAsia="Arial" w:hAnsi="Arial"/>
                <w:color w:val="1A1A2E"/>
                <w:sz w:val="22"/>
                <w:szCs w:val="22"/>
              </w:rPr>
              <w:t xml:space="preserve">For each unit the list will show [the address or general location, the number of bedrooms, accessibility features, the inspection date, the date the 60-day window closes, the owner’s asking rent, and owner contact information the owner has agreed to have shared].</w:t>
            </w:r>
          </w:p>
          <w:p>
            <w:pPr>
              <w:spacing w:after="100" w:line="288"/>
            </w:pPr>
            <w:r>
              <w:rPr>
                <w:rFonts w:ascii="Arial" w:cs="Arial" w:eastAsia="Arial" w:hAnsi="Arial"/>
                <w:b/>
                <w:bCs/>
                <w:color w:val="1A1A2E"/>
                <w:sz w:val="22"/>
                <w:szCs w:val="22"/>
              </w:rPr>
              <w:t xml:space="preserve">How it is maintained. </w:t>
            </w:r>
            <w:r>
              <w:rPr>
                <w:rFonts w:ascii="Arial" w:cs="Arial" w:eastAsia="Arial" w:hAnsi="Arial"/>
                <w:color w:val="1A1A2E"/>
                <w:sz w:val="22"/>
                <w:szCs w:val="22"/>
              </w:rPr>
              <w:t xml:space="preserve">The PHA will update the list [weekly / before each briefing] and will remove a unit when it is leased, when the 60-day window closes, or when the owner asks that it be removed. The list will be provided [in the briefing packet / in the briefing packet and on the PHA website].</w:t>
            </w:r>
          </w:p>
          <w:p>
            <w:pPr>
              <w:spacing w:after="100" w:line="288"/>
            </w:pPr>
            <w:r>
              <w:rPr>
                <w:rFonts w:ascii="Arial" w:cs="Arial" w:eastAsia="Arial" w:hAnsi="Arial"/>
                <w:b/>
                <w:bCs/>
                <w:color w:val="1A1A2E"/>
                <w:sz w:val="22"/>
                <w:szCs w:val="22"/>
              </w:rPr>
              <w:t xml:space="preserve">What the list is not. </w:t>
            </w:r>
            <w:r>
              <w:rPr>
                <w:rFonts w:ascii="Arial" w:cs="Arial" w:eastAsia="Arial" w:hAnsi="Arial"/>
                <w:color w:val="1A1A2E"/>
                <w:sz w:val="22"/>
                <w:szCs w:val="22"/>
              </w:rPr>
              <w:t xml:space="preserve">The list is informational. It is not a referral, an endorsement, or a limit on the family’s right to search for and select any eligible unit anywhere in the PHA’s jurisdiction [or outside it under portability]. The PHA will state this on the face of the list.</w:t>
            </w:r>
          </w:p>
          <w:p>
            <w:pPr>
              <w:spacing w:after="0" w:line="288"/>
            </w:pPr>
            <w:r>
              <w:rPr>
                <w:rFonts w:ascii="Arial" w:cs="Arial" w:eastAsia="Arial" w:hAnsi="Arial"/>
                <w:b/>
                <w:bCs/>
                <w:color w:val="1A1A2E"/>
                <w:sz w:val="22"/>
                <w:szCs w:val="22"/>
              </w:rPr>
              <w:t xml:space="preserve">Accessibility and language access. </w:t>
            </w:r>
            <w:r>
              <w:rPr>
                <w:rFonts w:ascii="Arial" w:cs="Arial" w:eastAsia="Arial" w:hAnsi="Arial"/>
                <w:color w:val="1A1A2E"/>
                <w:sz w:val="22"/>
                <w:szCs w:val="22"/>
              </w:rPr>
              <w:t xml:space="preserve">The list will be provided in an accessible format on request and [translated / accompanied by interpretation] consistent with the PHA’s language access plan.</w:t>
            </w:r>
          </w:p>
        </w:tc>
      </w:tr>
    </w:tbl>
    <w:p>
      <w:pPr>
        <w:spacing w:after="140" w:before="80" w:line="264"/>
      </w:pPr>
      <w:r>
        <w:rPr>
          <w:rFonts w:ascii="Arial" w:cs="Arial" w:eastAsia="Arial" w:hAnsi="Arial"/>
          <w:b/>
          <w:bCs/>
          <w:color w:val="1B4F72"/>
          <w:sz w:val="18"/>
          <w:szCs w:val="18"/>
        </w:rPr>
        <w:t xml:space="preserve">Authority: </w:t>
      </w:r>
      <w:r>
        <w:rPr>
          <w:rFonts w:ascii="Arial" w:cs="Arial" w:eastAsia="Arial" w:hAnsi="Arial"/>
          <w:color w:val="4B5563"/>
          <w:sz w:val="18"/>
          <w:szCs w:val="18"/>
        </w:rPr>
        <w:t xml:space="preserve">Sec. 405(b), 21st Century ROAD to Housing Act, Pub. L. 119-101 (July 11, 2026), adding section 8(o)(8)(A)(iv)(IV) to the United States Housing Act of 1937 (42 U.S.C. 1437f(o)(8)(A)).</w:t>
      </w:r>
    </w:p>
    <w:p>
      <w:pPr>
        <w:spacing w:after="180" w:before="0" w:line="264"/>
      </w:pPr>
      <w:r>
        <w:rPr>
          <w:rFonts w:ascii="Arial" w:cs="Arial" w:eastAsia="Arial" w:hAnsi="Arial"/>
          <w:b/>
          <w:bCs/>
          <w:color w:val="A66A15"/>
          <w:sz w:val="18"/>
          <w:szCs w:val="18"/>
        </w:rPr>
        <w:t xml:space="preserve">HUD guidance: </w:t>
      </w:r>
      <w:r>
        <w:rPr>
          <w:rFonts w:ascii="Arial" w:cs="Arial" w:eastAsia="Arial" w:hAnsi="Arial"/>
          <w:color w:val="4B5563"/>
          <w:sz w:val="18"/>
          <w:szCs w:val="18"/>
        </w:rPr>
        <w:t xml:space="preserve">HUD has not prescribed a format for the list, said how often it must be refreshed, or addressed how it interacts with the voucher briefing requirements in 24 CFR 982.301. The choices above are the agency’s until it does.</w:t>
      </w:r>
    </w:p>
    <w:p>
      <w:pPr>
        <w:pStyle w:val="Heading1"/>
        <w:keepNext/>
        <w:spacing w:after="110" w:before="300" w:line="276"/>
      </w:pPr>
      <w:r>
        <w:rPr>
          <w:rFonts w:ascii="Arial" w:cs="Arial" w:eastAsia="Arial" w:hAnsi="Arial"/>
          <w:b/>
          <w:bCs/>
          <w:color w:val="154360"/>
          <w:sz w:val="26"/>
          <w:szCs w:val="26"/>
        </w:rPr>
        <w:t xml:space="preserve">Before you adopt this</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Counsel has reviewed the language actually adopted, not this draft.</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amendment follows the PHA’s Administrative Plan amendment process, including board adoption.</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agency has determined whether the change is a significant amendment requiring resident advisory board consultation, public notice, and a public hearing, and has met those requirements if so.</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Data-sharing is in place with the State housing finance agency, HOME participating jurisdiction, and USDA Rural Development office, so the PHA can obtain the inspection results the statutory deeming turns on.</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Inspection SOPs, owner outreach materials, the briefing packet, and staff training have been updated to match.</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The remote/video inspection section is marked as not yet effective, and no owner or family has been told otherwise.</w:t>
      </w:r>
    </w:p>
    <w:p>
      <w:pPr>
        <w:tabs>
          <w:tab w:val="left" w:pos="360"/>
        </w:tabs>
        <w:spacing w:after="7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A review date is calendared for after HUD issues Sec. 405 guidance.</w:t>
      </w:r>
    </w:p>
    <w:p>
      <w:pPr>
        <w:pStyle w:val="Heading1"/>
        <w:keepNext/>
        <w:spacing w:after="110" w:before="300" w:line="276"/>
      </w:pPr>
      <w:r>
        <w:rPr>
          <w:rFonts w:ascii="Arial" w:cs="Arial" w:eastAsia="Arial" w:hAnsi="Arial"/>
          <w:b/>
          <w:bCs/>
          <w:color w:val="154360"/>
          <w:sz w:val="26"/>
          <w:szCs w:val="26"/>
        </w:rPr>
        <w:t xml:space="preserve">Sources</w:t>
      </w:r>
    </w:p>
    <w:p>
      <w:pPr>
        <w:pStyle w:val="ListParagraph"/>
        <w:numPr>
          <w:ilvl w:val="0"/>
          <w:numId w:val="2"/>
        </w:numPr>
        <w:spacing w:after="40" w:line="288"/>
      </w:pPr>
      <w:r>
        <w:rPr>
          <w:rFonts w:ascii="Arial" w:cs="Arial" w:eastAsia="Arial" w:hAnsi="Arial"/>
          <w:color w:val="1A1A2E"/>
          <w:sz w:val="22"/>
          <w:szCs w:val="22"/>
        </w:rPr>
        <w:t xml:space="preserve">Enrolled text of H.R. 6644 (119th Congress) — U.S. GPO, govinfo — </w:t>
      </w:r>
      <w:r>
        <w:rPr>
          <w:rFonts w:ascii="Arial" w:cs="Arial" w:eastAsia="Arial" w:hAnsi="Arial"/>
          <w:color w:val="0A66C2"/>
          <w:sz w:val="16"/>
          <w:szCs w:val="16"/>
        </w:rPr>
        <w:t xml:space="preserve">https://www.govinfo.gov/content/pkg/BILLS-119hr6644enr/html/BILLS-119hr6644enr.htm</w:t>
      </w:r>
    </w:p>
    <w:p>
      <w:pPr>
        <w:pStyle w:val="ListParagraph"/>
        <w:numPr>
          <w:ilvl w:val="0"/>
          <w:numId w:val="2"/>
        </w:numPr>
        <w:spacing w:after="40" w:line="288"/>
      </w:pPr>
      <w:r>
        <w:rPr>
          <w:rFonts w:ascii="Arial" w:cs="Arial" w:eastAsia="Arial" w:hAnsi="Arial"/>
          <w:color w:val="1A1A2E"/>
          <w:sz w:val="22"/>
          <w:szCs w:val="22"/>
        </w:rPr>
        <w:t xml:space="preserve">Notice PIH 2026-18 (NSPIRE-V, July 15, 2026) — restates existing procedures; does not implement Sec. 405 — </w:t>
      </w:r>
      <w:r>
        <w:rPr>
          <w:rFonts w:ascii="Arial" w:cs="Arial" w:eastAsia="Arial" w:hAnsi="Arial"/>
          <w:color w:val="0A66C2"/>
          <w:sz w:val="16"/>
          <w:szCs w:val="16"/>
        </w:rPr>
        <w:t xml:space="preserve">https://www.hud.gov/sites/dfiles/PIH/documents/PIH-2026-18.pdf</w:t>
      </w:r>
    </w:p>
    <w:p>
      <w:pPr>
        <w:pStyle w:val="ListParagraph"/>
        <w:numPr>
          <w:ilvl w:val="0"/>
          <w:numId w:val="2"/>
        </w:numPr>
        <w:spacing w:after="40" w:line="288"/>
      </w:pPr>
      <w:r>
        <w:rPr>
          <w:rFonts w:ascii="Arial" w:cs="Arial" w:eastAsia="Arial" w:hAnsi="Arial"/>
          <w:color w:val="1A1A2E"/>
          <w:sz w:val="22"/>
          <w:szCs w:val="22"/>
        </w:rPr>
        <w:t xml:space="preserve">Bipartisan Policy Center — ROAD to Housing Act implementation tracker — </w:t>
      </w:r>
      <w:r>
        <w:rPr>
          <w:rFonts w:ascii="Arial" w:cs="Arial" w:eastAsia="Arial" w:hAnsi="Arial"/>
          <w:color w:val="0A66C2"/>
          <w:sz w:val="16"/>
          <w:szCs w:val="16"/>
        </w:rPr>
        <w:t xml:space="preserve">https://bipartisanpolicy.org/hub/21st-century-road-to-housing-act-implementation-tracker/</w:t>
      </w:r>
    </w:p>
    <w:p>
      <w:pPr>
        <w:pStyle w:val="ListParagraph"/>
        <w:numPr>
          <w:ilvl w:val="0"/>
          <w:numId w:val="2"/>
        </w:numPr>
        <w:spacing w:after="40" w:line="288"/>
      </w:pPr>
      <w:r>
        <w:rPr>
          <w:rFonts w:ascii="Arial" w:cs="Arial" w:eastAsia="Arial" w:hAnsi="Arial"/>
          <w:color w:val="1A1A2E"/>
          <w:sz w:val="22"/>
          <w:szCs w:val="22"/>
        </w:rPr>
        <w:t xml:space="preserve">AI Housers — ROAD to Housing hub (status, sources, tracker) — </w:t>
      </w:r>
      <w:r>
        <w:rPr>
          <w:rFonts w:ascii="Arial" w:cs="Arial" w:eastAsia="Arial" w:hAnsi="Arial"/>
          <w:color w:val="0A66C2"/>
          <w:sz w:val="16"/>
          <w:szCs w:val="16"/>
        </w:rPr>
        <w:t xml:space="preserve">https://aihousers.com/road-to-housing</w:t>
      </w:r>
    </w:p>
    <w:p>
      <w:pPr>
        <w:keepNext/>
        <w:pBdr>
          <w:top w:val="single" w:color="DDE3EA" w:sz="4" w:space="8"/>
        </w:pBdr>
        <w:spacing w:after="80" w:before="20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4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Model document · drafting aid, not legal advice · have counsel review before adopting.</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p>
    <w:pPr>
      <w:spacing w:after="0" w:before="40" w:line="240"/>
    </w:pPr>
    <w:r>
      <w:rPr>
        <w:rFonts w:ascii="Arial" w:cs="Arial" w:eastAsia="Arial" w:hAnsi="Arial"/>
        <w:color w:val="4B5563"/>
        <w:sz w:val="14"/>
        <w:szCs w:val="14"/>
      </w:rPr>
      <w:t xml:space="preserve">Reuse freely, including with your own logo, with attribution to AI Housers — aihousers.com/road-to-housing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Model HCV Administrative Plan language · Sec. 405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HCV Administrative Plan — model language for Sec. 405 — model document (Public Housing Authorities)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 Licence: CC BY 4.0 — https://creativecommons.org/licenses/by/4.0/</dc:description>
  <cp:lastModifiedBy>Un-named</cp:lastModifiedBy>
  <cp:revision>1</cp:revision>
  <dcterms:created xsi:type="dcterms:W3CDTF">2026-08-30T00:37:05.990Z</dcterms:created>
  <dcterms:modified xsi:type="dcterms:W3CDTF">2026-08-30T00:37:05.990Z</dcterms:modified>
</cp:coreProperties>
</file>

<file path=docProps/custom.xml><?xml version="1.0" encoding="utf-8"?>
<Properties xmlns="http://schemas.openxmlformats.org/officeDocument/2006/custom-properties" xmlns:vt="http://schemas.openxmlformats.org/officeDocument/2006/docPropsVTypes"/>
</file>