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1685925" cy="457200"/>
            <wp:effectExtent t="0" r="0" b="0" l="0"/>
            <wp:docPr id="1" name="AI Housers logo" descr="AI Housers — Houser Technologies LLC" title="AI Ho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685925" cy="457200"/>
                    </a:xfrm>
                    <a:prstGeom prst="rect">
                      <a:avLst/>
                    </a:prstGeom>
                  </pic:spPr>
                </pic:pic>
              </a:graphicData>
            </a:graphic>
          </wp:inline>
        </w:drawing>
      </w:r>
    </w:p>
    <w:p>
      <w:pPr>
        <w:pBdr>
          <w:bottom w:val="single" w:color="154360" w:sz="6" w:space="4"/>
        </w:pBdr>
        <w:spacing w:after="0" w:before="60"/>
      </w:pPr>
      <w:r>
        <w:rPr>
          <w:rFonts w:ascii="Arial" w:cs="Arial" w:eastAsia="Arial" w:hAnsi="Arial"/>
          <w:color w:val="4B5563"/>
          <w:sz w:val="17"/>
          <w:szCs w:val="17"/>
        </w:rPr>
        <w:t xml:space="preserve">Model document · Prepared from aihousers.com/road-to-housing</w:t>
      </w:r>
    </w:p>
    <w:p>
      <w:pPr>
        <w:spacing w:after="20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B42318" w:sz="24"/>
              <w:bottom w:val="single" w:color="DDE3EA" w:sz="4"/>
              <w:right w:val="single" w:color="DDE3EA" w:sz="4"/>
            </w:tcBorders>
            <w:shd w:fill="FDECEC" w:color="auto" w:val="clear"/>
            <w:tcMar>
              <w:top w:type="dxa" w:w="140"/>
              <w:left w:type="dxa" w:w="180"/>
              <w:bottom w:type="dxa" w:w="140"/>
              <w:right w:type="dxa" w:w="180"/>
            </w:tcMar>
            <w:vAlign w:val="top"/>
          </w:tcPr>
          <w:p>
            <w:pPr>
              <w:spacing w:after="90" w:line="264"/>
            </w:pPr>
            <w:r>
              <w:rPr>
                <w:rFonts w:ascii="Arial" w:cs="Arial" w:eastAsia="Arial" w:hAnsi="Arial"/>
                <w:b/>
                <w:bCs/>
                <w:color w:val="B42318"/>
                <w:sz w:val="22"/>
                <w:szCs w:val="22"/>
              </w:rPr>
              <w:t xml:space="preserve">READ THIS FIRST — DRAFTING AID, NOT LEGAL ADVICE</w:t>
            </w:r>
          </w:p>
          <w:p>
            <w:pPr>
              <w:spacing w:after="90" w:line="276"/>
            </w:pPr>
            <w:r>
              <w:rPr>
                <w:rFonts w:ascii="Arial" w:cs="Arial" w:eastAsia="Arial" w:hAnsi="Arial"/>
                <w:color w:val="1A1A2E"/>
                <w:sz w:val="22"/>
                <w:szCs w:val="22"/>
              </w:rPr>
              <w:t xml:space="preserve">This is model language prepared by AI Housers from the enrolled text of the </w:t>
            </w:r>
            <w:r>
              <w:rPr>
                <w:rFonts w:ascii="Arial" w:cs="Arial" w:eastAsia="Arial" w:hAnsi="Arial"/>
                <w:b/>
                <w:bCs/>
                <w:color w:val="1A1A2E"/>
                <w:sz w:val="22"/>
                <w:szCs w:val="22"/>
              </w:rPr>
              <w:t xml:space="preserve">21st Century ROAD to Housing Act (H.R. 6644 (119th Congress), Public Law 119-101, enacted July 11, 2026)</w:t>
            </w:r>
            <w:r>
              <w:rPr>
                <w:rFonts w:ascii="Arial" w:cs="Arial" w:eastAsia="Arial" w:hAnsi="Arial"/>
                <w:color w:val="1A1A2E"/>
                <w:sz w:val="22"/>
                <w:szCs w:val="22"/>
              </w:rPr>
              <w:t xml:space="preserve">. It is a starting point for your own drafting. It is </w:t>
            </w:r>
            <w:r>
              <w:rPr>
                <w:rFonts w:ascii="Arial" w:cs="Arial" w:eastAsia="Arial" w:hAnsi="Arial"/>
                <w:b/>
                <w:bCs/>
                <w:color w:val="1A1A2E"/>
                <w:sz w:val="22"/>
                <w:szCs w:val="22"/>
              </w:rPr>
              <w:t xml:space="preserve">not legal advice</w:t>
            </w:r>
            <w:r>
              <w:rPr>
                <w:rFonts w:ascii="Arial" w:cs="Arial" w:eastAsia="Arial" w:hAnsi="Arial"/>
                <w:color w:val="1A1A2E"/>
                <w:sz w:val="22"/>
                <w:szCs w:val="22"/>
              </w:rPr>
              <w:t xml:space="preserve">, not a HUD-approved form, and not a substitute for the statute or for HUD guidance.</w:t>
            </w:r>
          </w:p>
          <w:p>
            <w:pPr>
              <w:spacing w:after="90" w:line="276"/>
            </w:pPr>
            <w:r>
              <w:rPr>
                <w:rFonts w:ascii="Arial" w:cs="Arial" w:eastAsia="Arial" w:hAnsi="Arial"/>
                <w:b/>
                <w:bCs/>
                <w:color w:val="1A1A2E"/>
                <w:sz w:val="22"/>
                <w:szCs w:val="22"/>
              </w:rPr>
              <w:t xml:space="preserve">Before you adopt any of it: </w:t>
            </w:r>
            <w:r>
              <w:rPr>
                <w:rFonts w:ascii="Arial" w:cs="Arial" w:eastAsia="Arial" w:hAnsi="Arial"/>
                <w:color w:val="1A1A2E"/>
                <w:sz w:val="22"/>
                <w:szCs w:val="22"/>
              </w:rPr>
              <w:t xml:space="preserve">have your agency’s counsel review it; conform it to your state and local law, your existing policies, and your own governing-document amendment process; and check it against the HUD guidance in effect on the day you adopt it.</w:t>
            </w:r>
          </w:p>
          <w:p>
            <w:pPr>
              <w:spacing w:after="0" w:line="276"/>
            </w:pPr>
            <w:r>
              <w:rPr>
                <w:rFonts w:ascii="Arial" w:cs="Arial" w:eastAsia="Arial" w:hAnsi="Arial"/>
                <w:b/>
                <w:bCs/>
                <w:color w:val="B42318"/>
                <w:sz w:val="22"/>
                <w:szCs w:val="22"/>
              </w:rPr>
              <w:t xml:space="preserve">Guidance has not issued. </w:t>
            </w:r>
            <w:r>
              <w:rPr>
                <w:rFonts w:ascii="Arial" w:cs="Arial" w:eastAsia="Arial" w:hAnsi="Arial"/>
                <w:color w:val="1A1A2E"/>
                <w:sz w:val="22"/>
                <w:szCs w:val="22"/>
              </w:rPr>
              <w:t xml:space="preserve">HUD has issued no notice, rule, or guidance implementing the sections named below, and no selection notice for the new Moving to Work cohort. This resolution is therefore written to acknowledge the law and direct preparation — not to change any policy. Your counsel and your clerk should conform it to your own resolution format, quorum and notice rules before it is placed on an agenda.</w:t>
            </w:r>
            <w:r>
              <w:rPr>
                <w:rFonts w:ascii="Arial" w:cs="Arial" w:eastAsia="Arial" w:hAnsi="Arial"/>
                <w:color w:val="1A1A2E"/>
                <w:sz w:val="22"/>
                <w:szCs w:val="22"/>
              </w:rPr>
              <w:t xml:space="preserve"> Content reviewed August 29, 2026; check the hub before you rely on any status statement here.</w:t>
            </w:r>
          </w:p>
        </w:tc>
      </w:tr>
    </w:tbl>
    <w:p>
      <w:pPr>
        <w:spacing w:after="40" w:before="260"/>
      </w:pPr>
      <w:r>
        <w:rPr>
          <w:rFonts w:ascii="Arial" w:cs="Arial" w:eastAsia="Arial" w:hAnsi="Arial"/>
          <w:b/>
          <w:bCs/>
          <w:color w:val="154360"/>
          <w:sz w:val="32"/>
          <w:szCs w:val="32"/>
        </w:rPr>
        <w:t xml:space="preserve">Model board resolution</w:t>
      </w:r>
    </w:p>
    <w:p>
      <w:pPr>
        <w:spacing w:after="60" w:line="276"/>
      </w:pPr>
      <w:r>
        <w:rPr>
          <w:rFonts w:ascii="Arial" w:cs="Arial" w:eastAsia="Arial" w:hAnsi="Arial"/>
          <w:color w:val="1B4F72"/>
          <w:sz w:val="21"/>
          <w:szCs w:val="21"/>
        </w:rPr>
        <w:t xml:space="preserve">Acknowledging the enactment of the 21st Century ROAD to Housing Act (Public Law 119-101) and directing staff action. WHEREAS / NOW, THEREFORE form, with every agency-specific fact in [brackets].</w:t>
      </w:r>
    </w:p>
    <w:p>
      <w:pPr>
        <w:pBdr>
          <w:bottom w:val="single" w:color="DDE3EA" w:sz="4" w:space="6"/>
        </w:pBdr>
        <w:spacing w:after="180"/>
      </w:pPr>
      <w:r>
        <w:rPr>
          <w:rFonts w:ascii="Arial" w:cs="Arial" w:eastAsia="Arial" w:hAnsi="Arial"/>
          <w:color w:val="1A1A2E"/>
          <w:sz w:val="4"/>
          <w:szCs w:val="4"/>
        </w:rPr>
        <w:t xml:space="preserve"/>
      </w:r>
    </w:p>
    <w:p>
      <w:pPr>
        <w:pStyle w:val="Heading1"/>
        <w:keepNext/>
        <w:spacing w:after="110" w:before="300" w:line="276"/>
      </w:pPr>
      <w:r>
        <w:rPr>
          <w:rFonts w:ascii="Arial" w:cs="Arial" w:eastAsia="Arial" w:hAnsi="Arial"/>
          <w:b/>
          <w:bCs/>
          <w:color w:val="154360"/>
          <w:sz w:val="26"/>
          <w:szCs w:val="26"/>
        </w:rPr>
        <w:t xml:space="preserve">How to use this document</w:t>
      </w:r>
    </w:p>
    <w:p>
      <w:pPr>
        <w:pStyle w:val="ListParagraph"/>
        <w:numPr>
          <w:ilvl w:val="0"/>
          <w:numId w:val="2"/>
        </w:numPr>
        <w:spacing w:after="60" w:line="336"/>
      </w:pPr>
      <w:r>
        <w:rPr>
          <w:rFonts w:ascii="Arial" w:cs="Arial" w:eastAsia="Arial" w:hAnsi="Arial"/>
          <w:b/>
          <w:bCs/>
          <w:color w:val="1A1A2E"/>
          <w:sz w:val="22"/>
          <w:szCs w:val="22"/>
        </w:rPr>
        <w:t xml:space="preserve">Square brackets are your decisions. </w:t>
      </w:r>
      <w:r>
        <w:rPr>
          <w:rFonts w:ascii="Arial" w:cs="Arial" w:eastAsia="Arial" w:hAnsi="Arial"/>
          <w:color w:val="1A1A2E"/>
          <w:sz w:val="22"/>
          <w:szCs w:val="22"/>
        </w:rPr>
        <w:t xml:space="preserve">Every [bracketed] passage is a choice, a local fact, or a blank the agency fills in. Delete the options you do not take; nothing should still be in brackets when you adopt it.</w:t>
      </w:r>
    </w:p>
    <w:p>
      <w:pPr>
        <w:pStyle w:val="ListParagraph"/>
        <w:numPr>
          <w:ilvl w:val="0"/>
          <w:numId w:val="2"/>
        </w:numPr>
        <w:spacing w:after="60" w:line="336"/>
      </w:pPr>
      <w:r>
        <w:rPr>
          <w:rFonts w:ascii="Arial" w:cs="Arial" w:eastAsia="Arial" w:hAnsi="Arial"/>
          <w:b/>
          <w:bCs/>
          <w:color w:val="1A1A2E"/>
          <w:sz w:val="22"/>
          <w:szCs w:val="22"/>
        </w:rPr>
        <w:t xml:space="preserve">Shaded blocks with a navy rule are the model language. </w:t>
      </w:r>
      <w:r>
        <w:rPr>
          <w:rFonts w:ascii="Arial" w:cs="Arial" w:eastAsia="Arial" w:hAnsi="Arial"/>
          <w:color w:val="1A1A2E"/>
          <w:sz w:val="22"/>
          <w:szCs w:val="22"/>
        </w:rPr>
        <w:t xml:space="preserve">That is the text to paste into your own document. The prose outside those blocks is commentary and should not be pasted.</w:t>
      </w:r>
    </w:p>
    <w:p>
      <w:pPr>
        <w:pStyle w:val="ListParagraph"/>
        <w:numPr>
          <w:ilvl w:val="0"/>
          <w:numId w:val="2"/>
        </w:numPr>
        <w:spacing w:after="60" w:line="336"/>
      </w:pPr>
      <w:r>
        <w:rPr>
          <w:rFonts w:ascii="Arial" w:cs="Arial" w:eastAsia="Arial" w:hAnsi="Arial"/>
          <w:b/>
          <w:bCs/>
          <w:color w:val="1A1A2E"/>
          <w:sz w:val="22"/>
          <w:szCs w:val="22"/>
        </w:rPr>
        <w:t xml:space="preserve">Blue blocks are the statute, quoted verbatim. </w:t>
      </w:r>
      <w:r>
        <w:rPr>
          <w:rFonts w:ascii="Arial" w:cs="Arial" w:eastAsia="Arial" w:hAnsi="Arial"/>
          <w:color w:val="1A1A2E"/>
          <w:sz w:val="22"/>
          <w:szCs w:val="22"/>
        </w:rPr>
        <w:t xml:space="preserve">They are here so you can see exactly what the model language is built on. The enrolled text is reproduced word for word, including its “--” dashes and its internal clause numbering; only the GPO typewriter quotation marks are shown as ordinary ones.</w:t>
      </w:r>
    </w:p>
    <w:p>
      <w:pPr>
        <w:pStyle w:val="ListParagraph"/>
        <w:numPr>
          <w:ilvl w:val="0"/>
          <w:numId w:val="2"/>
        </w:numPr>
        <w:spacing w:after="60" w:line="336"/>
      </w:pPr>
      <w:r>
        <w:rPr>
          <w:rFonts w:ascii="Arial" w:cs="Arial" w:eastAsia="Arial" w:hAnsi="Arial"/>
          <w:b/>
          <w:bCs/>
          <w:color w:val="1A1A2E"/>
          <w:sz w:val="22"/>
          <w:szCs w:val="22"/>
        </w:rPr>
        <w:t xml:space="preserve">Every block cites its authority. </w:t>
      </w:r>
      <w:r>
        <w:rPr>
          <w:rFonts w:ascii="Arial" w:cs="Arial" w:eastAsia="Arial" w:hAnsi="Arial"/>
          <w:color w:val="1A1A2E"/>
          <w:sz w:val="22"/>
          <w:szCs w:val="22"/>
        </w:rPr>
        <w:t xml:space="preserve">The “Authority:” line names the section of the Act and the provision of law it amends, so counsel can go straight to the source.</w:t>
      </w:r>
    </w:p>
    <w:p>
      <w:pPr>
        <w:pStyle w:val="ListParagraph"/>
        <w:numPr>
          <w:ilvl w:val="0"/>
          <w:numId w:val="2"/>
        </w:numPr>
        <w:spacing w:after="60" w:line="336"/>
      </w:pPr>
      <w:r>
        <w:rPr>
          <w:rFonts w:ascii="Arial" w:cs="Arial" w:eastAsia="Arial" w:hAnsi="Arial"/>
          <w:color w:val="1A1A2E"/>
          <w:sz w:val="22"/>
          <w:szCs w:val="22"/>
        </w:rPr>
        <w:t xml:space="preserve">Replace every [bracket] — including the resolution number, the body’s name, the officer titles, and the report-back dates — and delete any recital that names a program your agency does not operate.</w:t>
      </w:r>
    </w:p>
    <w:p>
      <w:pPr>
        <w:pStyle w:val="Heading1"/>
        <w:keepNext/>
        <w:spacing w:after="110" w:before="300" w:line="276"/>
      </w:pPr>
      <w:r>
        <w:rPr>
          <w:rFonts w:ascii="Arial" w:cs="Arial" w:eastAsia="Arial" w:hAnsi="Arial"/>
          <w:b/>
          <w:bCs/>
          <w:color w:val="154360"/>
          <w:sz w:val="26"/>
          <w:szCs w:val="26"/>
        </w:rPr>
        <w:t xml:space="preserve">Resolution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1B4F72" w:sz="24"/>
              <w:bottom w:val="single" w:color="DDE3EA" w:sz="4"/>
              <w:right w:val="single" w:color="DDE3EA" w:sz="4"/>
            </w:tcBorders>
            <w:shd w:fill="F7F9FB" w:color="auto" w:val="clear"/>
            <w:tcMar>
              <w:top w:type="dxa" w:w="140"/>
              <w:left w:type="dxa" w:w="180"/>
              <w:bottom w:type="dxa" w:w="140"/>
              <w:right w:type="dxa" w:w="180"/>
            </w:tcMar>
            <w:vAlign w:val="top"/>
          </w:tcPr>
          <w:p>
            <w:pPr>
              <w:spacing w:after="100" w:line="288"/>
            </w:pPr>
            <w:r>
              <w:rPr>
                <w:rFonts w:ascii="Arial" w:cs="Arial" w:eastAsia="Arial" w:hAnsi="Arial"/>
                <w:b/>
                <w:bCs/>
                <w:color w:val="154360"/>
                <w:sz w:val="24"/>
                <w:szCs w:val="24"/>
              </w:rPr>
              <w:t xml:space="preserve">RESOLUTION NO. [________]</w:t>
            </w:r>
          </w:p>
          <w:p>
            <w:pPr>
              <w:spacing w:after="100" w:line="288"/>
            </w:pPr>
            <w:r>
              <w:rPr>
                <w:rFonts w:ascii="Arial" w:cs="Arial" w:eastAsia="Arial" w:hAnsi="Arial"/>
                <w:b/>
                <w:bCs/>
                <w:color w:val="1A1A2E"/>
                <w:sz w:val="22"/>
                <w:szCs w:val="22"/>
              </w:rPr>
              <w:t xml:space="preserve">A RESOLUTION OF THE [BOARD OF COMMISSIONERS] OF [AGENCY NAME] ACKNOWLEDGING THE ENACTMENT OF THE 21ST CENTURY ROAD TO HOUSING ACT (PUBLIC LAW 119-101) AND DIRECTING STAFF ACTION</w:t>
            </w:r>
          </w:p>
          <w:p>
            <w:pPr>
              <w:spacing w:after="100" w:line="288"/>
            </w:pPr>
            <w:r>
              <w:rPr>
                <w:rFonts w:ascii="Arial" w:cs="Arial" w:eastAsia="Arial" w:hAnsi="Arial"/>
                <w:b/>
                <w:bCs/>
                <w:color w:val="1A1A2E"/>
                <w:sz w:val="22"/>
                <w:szCs w:val="22"/>
              </w:rPr>
              <w:t xml:space="preserve">WHEREAS, </w:t>
            </w:r>
            <w:r>
              <w:rPr>
                <w:rFonts w:ascii="Arial" w:cs="Arial" w:eastAsia="Arial" w:hAnsi="Arial"/>
                <w:color w:val="1A1A2E"/>
                <w:sz w:val="22"/>
                <w:szCs w:val="22"/>
              </w:rPr>
              <w:t xml:space="preserve">on July 11, 2026, H.R. 6644 (119th Congress), the 21st Century ROAD to Housing Act, became Public Law 119-101; and</w:t>
            </w:r>
          </w:p>
          <w:p>
            <w:pPr>
              <w:spacing w:after="100" w:line="288"/>
            </w:pPr>
            <w:r>
              <w:rPr>
                <w:rFonts w:ascii="Arial" w:cs="Arial" w:eastAsia="Arial" w:hAnsi="Arial"/>
                <w:b/>
                <w:bCs/>
                <w:color w:val="1A1A2E"/>
                <w:sz w:val="22"/>
                <w:szCs w:val="22"/>
              </w:rPr>
              <w:t xml:space="preserve">WHEREAS, </w:t>
            </w:r>
            <w:r>
              <w:rPr>
                <w:rFonts w:ascii="Arial" w:cs="Arial" w:eastAsia="Arial" w:hAnsi="Arial"/>
                <w:color w:val="1A1A2E"/>
                <w:sz w:val="22"/>
                <w:szCs w:val="22"/>
              </w:rPr>
              <w:t xml:space="preserve">the Act comprises 12 titles and 60 sections that reform how existing federal housing programs are administered, and section 1202 of the Act provides that “No additional funds are authorized to be appropriated to carry out the requirements of this Act or any amendment made by this Act”; and</w:t>
            </w:r>
          </w:p>
          <w:p>
            <w:pPr>
              <w:spacing w:after="100" w:line="288"/>
            </w:pPr>
            <w:r>
              <w:rPr>
                <w:rFonts w:ascii="Arial" w:cs="Arial" w:eastAsia="Arial" w:hAnsi="Arial"/>
                <w:b/>
                <w:bCs/>
                <w:color w:val="1A1A2E"/>
                <w:sz w:val="22"/>
                <w:szCs w:val="22"/>
              </w:rPr>
              <w:t xml:space="preserve">WHEREAS, </w:t>
            </w:r>
            <w:r>
              <w:rPr>
                <w:rFonts w:ascii="Arial" w:cs="Arial" w:eastAsia="Arial" w:hAnsi="Arial"/>
                <w:color w:val="1A1A2E"/>
                <w:sz w:val="22"/>
                <w:szCs w:val="22"/>
              </w:rPr>
              <w:t xml:space="preserve">section 405 of the Act amends section 8(o)(8) of the United States Housing Act of 1937 to deem a dwelling unit to meet Housing Choice Voucher inspection requirements when it was physically inspected and passed inspection during the preceding 12-month period under the low-income housing tax credit, HOME Investment Partnerships, or Rural Housing Service programs and the public housing agency is able to obtain the results; to permit the Secretary to allow remote or video inspections of units in rural or small areas; and to permit a public housing agency to inspect a new landlord’s unit before a family selects it, with that inspection satisfying the initial inspection requirement if a lease is executed not later than 60 days after the inspection; and</w:t>
            </w:r>
          </w:p>
          <w:p>
            <w:pPr>
              <w:spacing w:after="100" w:line="288"/>
            </w:pPr>
            <w:r>
              <w:rPr>
                <w:rFonts w:ascii="Arial" w:cs="Arial" w:eastAsia="Arial" w:hAnsi="Arial"/>
                <w:b/>
                <w:bCs/>
                <w:color w:val="1A1A2E"/>
                <w:sz w:val="22"/>
                <w:szCs w:val="22"/>
              </w:rPr>
              <w:t xml:space="preserve">WHEREAS, </w:t>
            </w:r>
            <w:r>
              <w:rPr>
                <w:rFonts w:ascii="Arial" w:cs="Arial" w:eastAsia="Arial" w:hAnsi="Arial"/>
                <w:color w:val="1A1A2E"/>
                <w:sz w:val="22"/>
                <w:szCs w:val="22"/>
              </w:rPr>
              <w:t xml:space="preserve">section 212 of the Act amends the Rental Assistance Demonstration authority to apply “for fiscal year 2012 and each fiscal year thereafter”, raises the conversion cap from 455,000 to 555,000 units, and adds annual assessment, tenant-protection, and enforcement provisions; and</w:t>
            </w:r>
          </w:p>
          <w:p>
            <w:pPr>
              <w:spacing w:after="100" w:line="288"/>
            </w:pPr>
            <w:r>
              <w:rPr>
                <w:rFonts w:ascii="Arial" w:cs="Arial" w:eastAsia="Arial" w:hAnsi="Arial"/>
                <w:b/>
                <w:bCs/>
                <w:color w:val="1A1A2E"/>
                <w:sz w:val="22"/>
                <w:szCs w:val="22"/>
              </w:rPr>
              <w:t xml:space="preserve">WHEREAS, </w:t>
            </w:r>
            <w:r>
              <w:rPr>
                <w:rFonts w:ascii="Arial" w:cs="Arial" w:eastAsia="Arial" w:hAnsi="Arial"/>
                <w:color w:val="1A1A2E"/>
                <w:sz w:val="22"/>
                <w:szCs w:val="22"/>
              </w:rPr>
              <w:t xml:space="preserve">section 505 of the Act authorizes the Secretary, after the completion of the initial report required under subsection (h)(2) of that section, to add up to an additional 25 public housing agencies designated as high performing under the Public Housing Assessment System or the Section 8 Management Assessment Program to a new Moving to Work demonstration cohort entitled the “Economic Opportunity and Pathways to Independence Cohort”; and</w:t>
            </w:r>
          </w:p>
          <w:p>
            <w:pPr>
              <w:spacing w:after="100" w:line="288"/>
            </w:pPr>
            <w:r>
              <w:rPr>
                <w:rFonts w:ascii="Arial" w:cs="Arial" w:eastAsia="Arial" w:hAnsi="Arial"/>
                <w:b/>
                <w:bCs/>
                <w:color w:val="1A1A2E"/>
                <w:sz w:val="22"/>
                <w:szCs w:val="22"/>
              </w:rPr>
              <w:t xml:space="preserve">WHEREAS, </w:t>
            </w:r>
            <w:r>
              <w:rPr>
                <w:rFonts w:ascii="Arial" w:cs="Arial" w:eastAsia="Arial" w:hAnsi="Arial"/>
                <w:color w:val="1A1A2E"/>
                <w:sz w:val="22"/>
                <w:szCs w:val="22"/>
              </w:rPr>
              <w:t xml:space="preserve">that report is due not later than 180 days after the date of enactment — on or about January 7, 2027 — and as of August 29, 2026 the Department of Housing and Urban Development had issued no notice, rule, guidance, or selection notice implementing these sections; and</w:t>
            </w:r>
          </w:p>
          <w:p>
            <w:pPr>
              <w:spacing w:after="100" w:line="288"/>
            </w:pPr>
            <w:r>
              <w:rPr>
                <w:rFonts w:ascii="Arial" w:cs="Arial" w:eastAsia="Arial" w:hAnsi="Arial"/>
                <w:b/>
                <w:bCs/>
                <w:color w:val="1A1A2E"/>
                <w:sz w:val="22"/>
                <w:szCs w:val="22"/>
              </w:rPr>
              <w:t xml:space="preserve">WHEREAS, </w:t>
            </w:r>
            <w:r>
              <w:rPr>
                <w:rFonts w:ascii="Arial" w:cs="Arial" w:eastAsia="Arial" w:hAnsi="Arial"/>
                <w:color w:val="1A1A2E"/>
                <w:sz w:val="22"/>
                <w:szCs w:val="22"/>
              </w:rPr>
              <w:t xml:space="preserve">the [Board of Commissioners] intends that [Agency Name] be prepared to act promptly when guidance issues, while ensuring that no policy of the Agency is changed before it has been reviewed by the Agency’s counsel, conformed to the requirements then in effect, and adopted through the Agency’s ordinary process;</w:t>
            </w:r>
          </w:p>
          <w:p>
            <w:pPr>
              <w:spacing w:after="100" w:line="288"/>
            </w:pPr>
            <w:r>
              <w:rPr>
                <w:rFonts w:ascii="Arial" w:cs="Arial" w:eastAsia="Arial" w:hAnsi="Arial"/>
                <w:b/>
                <w:bCs/>
                <w:color w:val="1A1A2E"/>
                <w:sz w:val="22"/>
                <w:szCs w:val="22"/>
              </w:rPr>
              <w:t xml:space="preserve">NOW, THEREFORE, BE IT RESOLVED </w:t>
            </w:r>
            <w:r>
              <w:rPr>
                <w:rFonts w:ascii="Arial" w:cs="Arial" w:eastAsia="Arial" w:hAnsi="Arial"/>
                <w:color w:val="1A1A2E"/>
                <w:sz w:val="22"/>
                <w:szCs w:val="22"/>
              </w:rPr>
              <w:t xml:space="preserve">by the [Board of Commissioners] of [Agency Name] as follows:</w:t>
            </w:r>
          </w:p>
          <w:p>
            <w:pPr>
              <w:spacing w:after="100" w:line="288"/>
            </w:pPr>
            <w:r>
              <w:rPr>
                <w:rFonts w:ascii="Arial" w:cs="Arial" w:eastAsia="Arial" w:hAnsi="Arial"/>
                <w:b/>
                <w:bCs/>
                <w:color w:val="1A1A2E"/>
                <w:sz w:val="22"/>
                <w:szCs w:val="22"/>
              </w:rPr>
              <w:t xml:space="preserve">Section 1. Acknowledgment. </w:t>
            </w:r>
            <w:r>
              <w:rPr>
                <w:rFonts w:ascii="Arial" w:cs="Arial" w:eastAsia="Arial" w:hAnsi="Arial"/>
                <w:color w:val="1A1A2E"/>
                <w:sz w:val="22"/>
                <w:szCs w:val="22"/>
              </w:rPr>
              <w:t xml:space="preserve">The [Board of Commissioners] acknowledges the enactment of the 21st Century ROAD to Housing Act, Public Law 119-101, and directs that this resolution be entered in the minutes of this meeting.</w:t>
            </w:r>
          </w:p>
          <w:p>
            <w:pPr>
              <w:spacing w:after="100" w:line="288"/>
            </w:pPr>
            <w:r>
              <w:rPr>
                <w:rFonts w:ascii="Arial" w:cs="Arial" w:eastAsia="Arial" w:hAnsi="Arial"/>
                <w:b/>
                <w:bCs/>
                <w:color w:val="1A1A2E"/>
                <w:sz w:val="22"/>
                <w:szCs w:val="22"/>
              </w:rPr>
              <w:t xml:space="preserve">Section 2. Inventory of affected policies. </w:t>
            </w:r>
            <w:r>
              <w:rPr>
                <w:rFonts w:ascii="Arial" w:cs="Arial" w:eastAsia="Arial" w:hAnsi="Arial"/>
                <w:color w:val="1A1A2E"/>
                <w:sz w:val="22"/>
                <w:szCs w:val="22"/>
              </w:rPr>
              <w:t xml:space="preserve">The [Executive Director] is directed to inventory the Agency’s governing documents and procedures affected by the Act — including [the Housing Choice Voucher Administrative Plan, the Admissions and Continued Occupancy Policy, the Agency Plan, inspection standard operating procedures, owner outreach materials, and the voucher briefing packet] — and to report the inventory, with a recommended schedule of amendments, to the [Board] not later than [date].</w:t>
            </w:r>
          </w:p>
          <w:p>
            <w:pPr>
              <w:spacing w:after="100" w:line="288"/>
            </w:pPr>
            <w:r>
              <w:rPr>
                <w:rFonts w:ascii="Arial" w:cs="Arial" w:eastAsia="Arial" w:hAnsi="Arial"/>
                <w:b/>
                <w:bCs/>
                <w:color w:val="1A1A2E"/>
                <w:sz w:val="22"/>
                <w:szCs w:val="22"/>
              </w:rPr>
              <w:t xml:space="preserve">Section 3. No premature implementation. </w:t>
            </w:r>
            <w:r>
              <w:rPr>
                <w:rFonts w:ascii="Arial" w:cs="Arial" w:eastAsia="Arial" w:hAnsi="Arial"/>
                <w:color w:val="1A1A2E"/>
                <w:sz w:val="22"/>
                <w:szCs w:val="22"/>
              </w:rPr>
              <w:t xml:space="preserve">No amendment to a governing document of the Agency made in reliance on the Act shall take effect until it has been reviewed by the Agency’s counsel, conformed to the HUD guidance in effect at that time, and adopted by the [Board] through the Agency’s ordinary amendment process, including any applicable resident advisory board consultation, public notice, and public hearing requirements. Nothing in this resolution delays or excuses the Agency’s compliance with any provision of the Act that is effective by its own terms — the Act was enacted on July 11, 2026, and its provisions are effective from that date except where the Act itself sets a later or contingent effective date — or precludes the Agency, on advice of counsel, from relying on the Act as authority in an individual determination before the Agency’s governing documents are amended.</w:t>
            </w:r>
          </w:p>
          <w:p>
            <w:pPr>
              <w:spacing w:after="100" w:line="288"/>
            </w:pPr>
            <w:r>
              <w:rPr>
                <w:rFonts w:ascii="Arial" w:cs="Arial" w:eastAsia="Arial" w:hAnsi="Arial"/>
                <w:b/>
                <w:bCs/>
                <w:color w:val="1A1A2E"/>
                <w:sz w:val="22"/>
                <w:szCs w:val="22"/>
              </w:rPr>
              <w:t xml:space="preserve">Section 4. Moving to Work. </w:t>
            </w:r>
            <w:r>
              <w:rPr>
                <w:rFonts w:ascii="Arial" w:cs="Arial" w:eastAsia="Arial" w:hAnsi="Arial"/>
                <w:color w:val="1A1A2E"/>
                <w:sz w:val="22"/>
                <w:szCs w:val="22"/>
              </w:rPr>
              <w:t xml:space="preserve">The [Executive Director] is directed to [determine and report whether the Agency meets the selection parameters in section 505 of the Act, and to prepare, but not submit, a statement of interest] and to take no further action regarding the Economic Opportunity and Pathways to Independence Cohort until HUD publishes a selection notice.</w:t>
            </w:r>
          </w:p>
          <w:p>
            <w:pPr>
              <w:spacing w:after="100" w:line="288"/>
            </w:pPr>
            <w:r>
              <w:rPr>
                <w:rFonts w:ascii="Arial" w:cs="Arial" w:eastAsia="Arial" w:hAnsi="Arial"/>
                <w:b/>
                <w:bCs/>
                <w:color w:val="1A1A2E"/>
                <w:sz w:val="22"/>
                <w:szCs w:val="22"/>
              </w:rPr>
              <w:t xml:space="preserve">Section 5. Rental Assistance Demonstration. </w:t>
            </w:r>
            <w:r>
              <w:rPr>
                <w:rFonts w:ascii="Arial" w:cs="Arial" w:eastAsia="Arial" w:hAnsi="Arial"/>
                <w:color w:val="1A1A2E"/>
                <w:sz w:val="22"/>
                <w:szCs w:val="22"/>
              </w:rPr>
              <w:t xml:space="preserve">[Optional — for agencies with RAD activity: The [Executive Director] is directed to review the Agency’s RAD portfolio and pipeline against section 212 of the Act, including the revised conversion cap and the tenant-protection and lease-addendum provisions, and to report to the [Board] not later than [date].]</w:t>
            </w:r>
          </w:p>
          <w:p>
            <w:pPr>
              <w:spacing w:after="100" w:line="288"/>
            </w:pPr>
            <w:r>
              <w:rPr>
                <w:rFonts w:ascii="Arial" w:cs="Arial" w:eastAsia="Arial" w:hAnsi="Arial"/>
                <w:b/>
                <w:bCs/>
                <w:color w:val="1A1A2E"/>
                <w:sz w:val="22"/>
                <w:szCs w:val="22"/>
              </w:rPr>
              <w:t xml:space="preserve">Section 6. Reporting. </w:t>
            </w:r>
            <w:r>
              <w:rPr>
                <w:rFonts w:ascii="Arial" w:cs="Arial" w:eastAsia="Arial" w:hAnsi="Arial"/>
                <w:color w:val="1A1A2E"/>
                <w:sz w:val="22"/>
                <w:szCs w:val="22"/>
              </w:rPr>
              <w:t xml:space="preserve">The [Executive Director] shall report to the [Board] on implementation of this resolution [quarterly / at each regular meeting] until the inventory in Section 2 is complete.</w:t>
            </w:r>
          </w:p>
          <w:p>
            <w:pPr>
              <w:spacing w:after="100" w:line="288"/>
            </w:pPr>
            <w:r>
              <w:rPr>
                <w:rFonts w:ascii="Arial" w:cs="Arial" w:eastAsia="Arial" w:hAnsi="Arial"/>
                <w:b/>
                <w:bCs/>
                <w:color w:val="1A1A2E"/>
                <w:sz w:val="22"/>
                <w:szCs w:val="22"/>
              </w:rPr>
              <w:t xml:space="preserve">Section 7. Effective date. </w:t>
            </w:r>
            <w:r>
              <w:rPr>
                <w:rFonts w:ascii="Arial" w:cs="Arial" w:eastAsia="Arial" w:hAnsi="Arial"/>
                <w:color w:val="1A1A2E"/>
                <w:sz w:val="22"/>
                <w:szCs w:val="22"/>
              </w:rPr>
              <w:t xml:space="preserve">This resolution takes effect immediately upon adoption.</w:t>
            </w:r>
          </w:p>
          <w:p>
            <w:pPr>
              <w:spacing w:after="100" w:line="288"/>
            </w:pPr>
            <w:r>
              <w:rPr>
                <w:rFonts w:ascii="Arial" w:cs="Arial" w:eastAsia="Arial" w:hAnsi="Arial"/>
                <w:b/>
                <w:bCs/>
                <w:color w:val="1A1A2E"/>
                <w:sz w:val="22"/>
                <w:szCs w:val="22"/>
              </w:rPr>
              <w:t xml:space="preserve">ADOPTED this ____ day of ____________, 20____.</w:t>
            </w:r>
          </w:p>
          <w:p>
            <w:pPr>
              <w:spacing w:after="100" w:line="288"/>
            </w:pPr>
            <w:r>
              <w:rPr>
                <w:rFonts w:ascii="Arial" w:cs="Arial" w:eastAsia="Arial" w:hAnsi="Arial"/>
                <w:color w:val="1A1A2E"/>
                <w:sz w:val="22"/>
                <w:szCs w:val="22"/>
              </w:rPr>
              <w:t xml:space="preserve">_______________________________          _______________________________</w:t>
            </w:r>
          </w:p>
          <w:p>
            <w:pPr>
              <w:spacing w:after="100" w:line="288"/>
            </w:pPr>
            <w:r>
              <w:rPr>
                <w:rFonts w:ascii="Arial" w:cs="Arial" w:eastAsia="Arial" w:hAnsi="Arial"/>
                <w:color w:val="1A1A2E"/>
                <w:sz w:val="22"/>
                <w:szCs w:val="22"/>
              </w:rPr>
              <w:t xml:space="preserve">[Chair / Chairperson], [Board]                    [Secretary], [Board]</w:t>
            </w:r>
          </w:p>
          <w:p>
            <w:pPr>
              <w:spacing w:after="100" w:line="288"/>
            </w:pPr>
            <w:r>
              <w:rPr>
                <w:rFonts w:ascii="Arial" w:cs="Arial" w:eastAsia="Arial" w:hAnsi="Arial"/>
                <w:b/>
                <w:bCs/>
                <w:color w:val="1A1A2E"/>
                <w:sz w:val="22"/>
                <w:szCs w:val="22"/>
              </w:rPr>
              <w:t xml:space="preserve">CERTIFICATION. </w:t>
            </w:r>
            <w:r>
              <w:rPr>
                <w:rFonts w:ascii="Arial" w:cs="Arial" w:eastAsia="Arial" w:hAnsi="Arial"/>
                <w:color w:val="1A1A2E"/>
                <w:sz w:val="22"/>
                <w:szCs w:val="22"/>
              </w:rPr>
              <w:t xml:space="preserve">I, the undersigned [Secretary] of the [Board] of [Agency Name], certify that the foregoing is a true and correct copy of a resolution adopted at a [regular / special] meeting of the [Board] held on [date], at which a quorum was present, by a vote of ____ in favor, ____ opposed, and ____ abstaining, and that the resolution has not been amended or rescinded.</w:t>
            </w:r>
          </w:p>
          <w:p>
            <w:pPr>
              <w:spacing w:after="100" w:line="288"/>
            </w:pPr>
            <w:r>
              <w:rPr>
                <w:rFonts w:ascii="Arial" w:cs="Arial" w:eastAsia="Arial" w:hAnsi="Arial"/>
                <w:color w:val="1A1A2E"/>
                <w:sz w:val="22"/>
                <w:szCs w:val="22"/>
              </w:rPr>
              <w:t xml:space="preserve">_______________________________     Date: ______________</w:t>
            </w:r>
          </w:p>
          <w:p>
            <w:pPr>
              <w:spacing w:after="0" w:line="288"/>
            </w:pPr>
            <w:r>
              <w:rPr>
                <w:rFonts w:ascii="Arial" w:cs="Arial" w:eastAsia="Arial" w:hAnsi="Arial"/>
                <w:color w:val="1A1A2E"/>
                <w:sz w:val="22"/>
                <w:szCs w:val="22"/>
              </w:rPr>
              <w:t xml:space="preserve">[Secretary], [Board]</w:t>
            </w:r>
          </w:p>
        </w:tc>
      </w:tr>
    </w:tbl>
    <w:p>
      <w:pPr>
        <w:spacing w:after="140" w:before="80" w:line="264"/>
      </w:pPr>
      <w:r>
        <w:rPr>
          <w:rFonts w:ascii="Arial" w:cs="Arial" w:eastAsia="Arial" w:hAnsi="Arial"/>
          <w:b/>
          <w:bCs/>
          <w:color w:val="1B4F72"/>
          <w:sz w:val="18"/>
          <w:szCs w:val="18"/>
        </w:rPr>
        <w:t xml:space="preserve">Authority: </w:t>
      </w:r>
      <w:r>
        <w:rPr>
          <w:rFonts w:ascii="Arial" w:cs="Arial" w:eastAsia="Arial" w:hAnsi="Arial"/>
          <w:color w:val="4B5563"/>
          <w:sz w:val="18"/>
          <w:szCs w:val="18"/>
        </w:rPr>
        <w:t xml:space="preserve">Recitals draw on Secs. 405, 212, 505 and 1202 of the 21st Century ROAD to Housing Act, Pub. L. 119-101 (July 11, 2026). Every passage in quotation marks above — the no-additional-funds sentence, the two Rental Assistance Demonstration amendments, and the cohort name — is the enrolled text of Secs. 1202, 212 and 505(b)(2); each is reproduced in full in the next section.</w:t>
      </w:r>
    </w:p>
    <w:p>
      <w:pPr>
        <w:pStyle w:val="Heading1"/>
        <w:keepNext/>
        <w:spacing w:after="110" w:before="300" w:line="276"/>
      </w:pPr>
      <w:r>
        <w:rPr>
          <w:rFonts w:ascii="Arial" w:cs="Arial" w:eastAsia="Arial" w:hAnsi="Arial"/>
          <w:b/>
          <w:bCs/>
          <w:color w:val="154360"/>
          <w:sz w:val="26"/>
          <w:szCs w:val="26"/>
        </w:rPr>
        <w:t xml:space="preserve">The statutory words quoted in the recitals</w:t>
      </w:r>
    </w:p>
    <w:p>
      <w:pPr>
        <w:keepNext/>
        <w:spacing w:after="40" w:before="60" w:line="240"/>
      </w:pPr>
      <w:r>
        <w:rPr>
          <w:rFonts w:ascii="Arial" w:cs="Arial" w:eastAsia="Arial" w:hAnsi="Arial"/>
          <w:b/>
          <w:bCs/>
          <w:color w:val="A66A15"/>
          <w:spacing w:val="30"/>
          <w:sz w:val="16"/>
          <w:szCs w:val="16"/>
        </w:rPr>
        <w:t xml:space="preserve">SECTION 1202 — NO ADDITIONAL FUNDS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No additional funds are authorized to be appropriated to carry out the requirements of this Act or any amendment made by this Act.</w:t>
            </w:r>
          </w:p>
        </w:tc>
      </w:tr>
    </w:tbl>
    <w:p>
      <w:pPr>
        <w:spacing w:after="140" w:before="0"/>
      </w:pPr>
      <w:r>
        <w:rPr>
          <w:rFonts w:ascii="Arial" w:cs="Arial" w:eastAsia="Arial" w:hAnsi="Arial"/>
          <w:color w:val="1A1A2E"/>
          <w:sz w:val="4"/>
          <w:szCs w:val="4"/>
        </w:rPr>
        <w:t xml:space="preserve"/>
      </w:r>
    </w:p>
    <w:p>
      <w:pPr>
        <w:keepNext/>
        <w:spacing w:after="40" w:before="60" w:line="240"/>
      </w:pPr>
      <w:r>
        <w:rPr>
          <w:rFonts w:ascii="Arial" w:cs="Arial" w:eastAsia="Arial" w:hAnsi="Arial"/>
          <w:b/>
          <w:bCs/>
          <w:color w:val="A66A15"/>
          <w:spacing w:val="30"/>
          <w:sz w:val="16"/>
          <w:szCs w:val="16"/>
        </w:rPr>
        <w:t xml:space="preserve">SECTION 212 — PERMANENT RAD AUTHORITY AND THE HIGHER CAP</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(1) in the second proviso, by striking “until September 30, 2029’’ and inserting “for fiscal year 2012 and each fiscal year thereafter’’; (2) in the fourth proviso, by striking “455,000’’ and inserting “555,000’’;</w:t>
            </w:r>
          </w:p>
        </w:tc>
      </w:tr>
    </w:tbl>
    <w:p>
      <w:pPr>
        <w:spacing w:after="140" w:before="0"/>
      </w:pPr>
      <w:r>
        <w:rPr>
          <w:rFonts w:ascii="Arial" w:cs="Arial" w:eastAsia="Arial" w:hAnsi="Arial"/>
          <w:color w:val="1A1A2E"/>
          <w:sz w:val="4"/>
          <w:szCs w:val="4"/>
        </w:rPr>
        <w:t xml:space="preserve"/>
      </w:r>
    </w:p>
    <w:p>
      <w:pPr>
        <w:keepNext/>
        <w:spacing w:after="40" w:before="60" w:line="240"/>
      </w:pPr>
      <w:r>
        <w:rPr>
          <w:rFonts w:ascii="Arial" w:cs="Arial" w:eastAsia="Arial" w:hAnsi="Arial"/>
          <w:b/>
          <w:bCs/>
          <w:color w:val="A66A15"/>
          <w:spacing w:val="30"/>
          <w:sz w:val="16"/>
          <w:szCs w:val="16"/>
        </w:rPr>
        <w:t xml:space="preserve">SECTION 505 — THE NEW COHORT AND ITS NAME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After the completion of the initial report required under subsection (h)(2), the Secretary may add up to an additional 25 public housing agencies that are designated as high performing agencies under the Public Housing Assessment System or the Section 8 Management Assessment Program to participate in a new cohort as part of the Moving to Work demonstration.</w:t>
            </w:r>
          </w:p>
        </w:tc>
      </w:tr>
    </w:tbl>
    <w:p>
      <w:pPr>
        <w:spacing w:after="14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The new cohort authorized under paragraph (1) shall be entitled the “Economic Opportunity and Pathways to Independence Cohort’’.</w:t>
            </w:r>
          </w:p>
        </w:tc>
      </w:tr>
    </w:tbl>
    <w:p>
      <w:pPr>
        <w:spacing w:after="160" w:before="0"/>
      </w:pPr>
      <w:r>
        <w:rPr>
          <w:rFonts w:ascii="Arial" w:cs="Arial" w:eastAsia="Arial" w:hAnsi="Arial"/>
          <w:color w:val="1A1A2E"/>
          <w:sz w:val="4"/>
          <w:szCs w:val="4"/>
        </w:rPr>
        <w:t xml:space="preserve"/>
      </w:r>
    </w:p>
    <w:p>
      <w:pPr>
        <w:pStyle w:val="Heading1"/>
        <w:keepNext/>
        <w:spacing w:after="110" w:before="300" w:line="276"/>
      </w:pPr>
      <w:r>
        <w:rPr>
          <w:rFonts w:ascii="Arial" w:cs="Arial" w:eastAsia="Arial" w:hAnsi="Arial"/>
          <w:b/>
          <w:bCs/>
          <w:color w:val="154360"/>
          <w:sz w:val="26"/>
          <w:szCs w:val="26"/>
        </w:rPr>
        <w:t xml:space="preserve">Before you adopt this</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Counsel has reviewed the resolution as it will be presented.</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The clerk has conformed the resolution to the agency’s own format, numbering, and certification language.</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The meeting notice, agenda posting, and quorum requirements of state and local law are satisfied.</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Every [bracket] has been replaced, including the report-back dates in Sections 2 and 5.</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Recitals naming programs the agency does not operate have been deleted.</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The board packet includes the underlying section summaries, not only this resolution.</w:t>
      </w:r>
    </w:p>
    <w:p>
      <w:pPr>
        <w:pStyle w:val="Heading1"/>
        <w:keepNext/>
        <w:spacing w:after="110" w:before="300" w:line="276"/>
      </w:pPr>
      <w:r>
        <w:rPr>
          <w:rFonts w:ascii="Arial" w:cs="Arial" w:eastAsia="Arial" w:hAnsi="Arial"/>
          <w:b/>
          <w:bCs/>
          <w:color w:val="154360"/>
          <w:sz w:val="26"/>
          <w:szCs w:val="26"/>
        </w:rPr>
        <w:t xml:space="preserve">Sources</w:t>
      </w:r>
    </w:p>
    <w:p>
      <w:pPr>
        <w:pStyle w:val="ListParagraph"/>
        <w:numPr>
          <w:ilvl w:val="0"/>
          <w:numId w:val="2"/>
        </w:numPr>
        <w:spacing w:after="40" w:line="288"/>
      </w:pPr>
      <w:r>
        <w:rPr>
          <w:rFonts w:ascii="Arial" w:cs="Arial" w:eastAsia="Arial" w:hAnsi="Arial"/>
          <w:color w:val="1A1A2E"/>
          <w:sz w:val="22"/>
          <w:szCs w:val="22"/>
        </w:rPr>
        <w:t xml:space="preserve">Enrolled text of H.R. 6644 (119th Congress) — U.S. GPO, govinfo — </w:t>
      </w:r>
      <w:r>
        <w:rPr>
          <w:rFonts w:ascii="Arial" w:cs="Arial" w:eastAsia="Arial" w:hAnsi="Arial"/>
          <w:color w:val="0A66C2"/>
          <w:sz w:val="16"/>
          <w:szCs w:val="16"/>
        </w:rPr>
        <w:t xml:space="preserve">https://www.govinfo.gov/content/pkg/BILLS-119hr6644enr/html/BILLS-119hr6644enr.htm</w:t>
      </w:r>
    </w:p>
    <w:p>
      <w:pPr>
        <w:pStyle w:val="ListParagraph"/>
        <w:numPr>
          <w:ilvl w:val="0"/>
          <w:numId w:val="2"/>
        </w:numPr>
        <w:spacing w:after="40" w:line="288"/>
      </w:pPr>
      <w:r>
        <w:rPr>
          <w:rFonts w:ascii="Arial" w:cs="Arial" w:eastAsia="Arial" w:hAnsi="Arial"/>
          <w:color w:val="1A1A2E"/>
          <w:sz w:val="22"/>
          <w:szCs w:val="22"/>
        </w:rPr>
        <w:t xml:space="preserve">Bipartisan Policy Center — ROAD to Housing Act implementation tracker — </w:t>
      </w:r>
      <w:r>
        <w:rPr>
          <w:rFonts w:ascii="Arial" w:cs="Arial" w:eastAsia="Arial" w:hAnsi="Arial"/>
          <w:color w:val="0A66C2"/>
          <w:sz w:val="16"/>
          <w:szCs w:val="16"/>
        </w:rPr>
        <w:t xml:space="preserve">https://bipartisanpolicy.org/hub/21st-century-road-to-housing-act-implementation-tracker/</w:t>
      </w:r>
    </w:p>
    <w:p>
      <w:pPr>
        <w:pStyle w:val="ListParagraph"/>
        <w:numPr>
          <w:ilvl w:val="0"/>
          <w:numId w:val="2"/>
        </w:numPr>
        <w:spacing w:after="40" w:line="288"/>
      </w:pPr>
      <w:r>
        <w:rPr>
          <w:rFonts w:ascii="Arial" w:cs="Arial" w:eastAsia="Arial" w:hAnsi="Arial"/>
          <w:color w:val="1A1A2E"/>
          <w:sz w:val="22"/>
          <w:szCs w:val="22"/>
        </w:rPr>
        <w:t xml:space="preserve">AI Housers — ROAD to Housing hub (status, sources, tracker) — </w:t>
      </w:r>
      <w:r>
        <w:rPr>
          <w:rFonts w:ascii="Arial" w:cs="Arial" w:eastAsia="Arial" w:hAnsi="Arial"/>
          <w:color w:val="0A66C2"/>
          <w:sz w:val="16"/>
          <w:szCs w:val="16"/>
        </w:rPr>
        <w:t xml:space="preserve">https://aihousers.com/road-to-housing</w:t>
      </w:r>
    </w:p>
    <w:p>
      <w:pPr>
        <w:keepNext/>
        <w:pBdr>
          <w:top w:val="single" w:color="DDE3EA" w:sz="4" w:space="8"/>
        </w:pBdr>
        <w:spacing w:after="80" w:before="200" w:line="252"/>
      </w:pPr>
      <w:r>
        <w:rPr>
          <w:rFonts w:ascii="Arial" w:cs="Arial" w:eastAsia="Arial" w:hAnsi="Arial"/>
          <w:color w:val="4B5563"/>
          <w:sz w:val="17"/>
          <w:szCs w:val="17"/>
        </w:rPr>
        <w:t xml:space="preserve">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w:t>
      </w:r>
    </w:p>
    <w:p>
      <w:pPr>
        <w:spacing w:after="0" w:line="252"/>
      </w:pPr>
      <w:r>
        <w:rPr>
          <w:rFonts w:ascii="Arial" w:cs="Arial" w:eastAsia="Arial" w:hAnsi="Arial"/>
          <w:color w:val="4B5563"/>
          <w:sz w:val="17"/>
          <w:szCs w:val="17"/>
        </w:rPr>
        <w:t xml:space="preserve">Reuse freely, including with your own logo, with attribution to AI Housers — aihousers.com/road-to-housing (CC BY 4.0). </w:t>
      </w:r>
      <w:r>
        <w:rPr>
          <w:rFonts w:ascii="Arial" w:cs="Arial" w:eastAsia="Arial" w:hAnsi="Arial"/>
          <w:color w:val="0A66C2"/>
          <w:sz w:val="17"/>
          <w:szCs w:val="17"/>
        </w:rPr>
        <w:t xml:space="preserve">https://creativecommons.org/licenses/by/4.0/</w:t>
      </w:r>
    </w:p>
    <w:sectPr>
      <w:headerReference w:type="default" r:id="rId7"/>
      <w:footerReference w:type="default" r:id="rId8"/>
      <w:pgSz w:w="12240" w:h="15840" w:orient="portrait"/>
      <w:pgMar w:top="1080" w:right="1080" w:bottom="1080" w:left="1080" w:header="500" w:footer="4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A" w:sz="4" w:space="6"/>
      </w:pBdr>
      <w:tabs>
        <w:tab w:val="right" w:pos="10080"/>
      </w:tabs>
      <w:spacing w:after="0" w:line="240"/>
    </w:pPr>
    <w:r>
      <w:rPr>
        <w:rFonts w:ascii="Arial" w:cs="Arial" w:eastAsia="Arial" w:hAnsi="Arial"/>
        <w:color w:val="4B5563"/>
        <w:sz w:val="14"/>
        <w:szCs w:val="14"/>
      </w:rPr>
      <w:t xml:space="preserve">Model document · drafting aid, not legal advice · have counsel review before adopting.</w:t>
    </w:r>
    <w:r>
      <w:rPr>
        <w:rFonts w:ascii="Arial" w:cs="Arial" w:eastAsia="Arial" w:hAnsi="Arial"/>
        <w:color w:val="4B5563"/>
        <w:sz w:val="14"/>
        <w:szCs w:val="14"/>
      </w:rPr>
      <w:t xml:space="preserve">	Page </w:t>
    </w:r>
    <w:r>
      <w:rPr>
        <w:rFonts w:ascii="Arial" w:cs="Arial" w:eastAsia="Arial" w:hAnsi="Arial"/>
        <w:color w:val="4B5563"/>
        <w:sz w:val="14"/>
        <w:szCs w:val="14"/>
      </w:rPr>
      <w:fldChar w:fldCharType="begin"/>
      <w:instrText xml:space="preserve">PAGE</w:instrText>
      <w:fldChar w:fldCharType="separate"/>
      <w:fldChar w:fldCharType="end"/>
    </w:r>
    <w:r>
      <w:rPr>
        <w:rFonts w:ascii="Arial" w:cs="Arial" w:eastAsia="Arial" w:hAnsi="Arial"/>
        <w:color w:val="4B5563"/>
        <w:sz w:val="14"/>
        <w:szCs w:val="14"/>
      </w:rPr>
      <w:t xml:space="preserve"> of </w:t>
    </w:r>
    <w:r>
      <w:rPr>
        <w:rFonts w:ascii="Arial" w:cs="Arial" w:eastAsia="Arial" w:hAnsi="Arial"/>
        <w:color w:val="4B5563"/>
        <w:sz w:val="14"/>
        <w:szCs w:val="14"/>
      </w:rPr>
      <w:fldChar w:fldCharType="begin"/>
      <w:instrText xml:space="preserve">NUMPAGES</w:instrText>
      <w:fldChar w:fldCharType="separate"/>
      <w:fldChar w:fldCharType="end"/>
    </w:r>
  </w:p>
  <w:p>
    <w:pPr>
      <w:spacing w:after="0" w:before="40" w:line="240"/>
    </w:pPr>
    <w:r>
      <w:rPr>
        <w:rFonts w:ascii="Arial" w:cs="Arial" w:eastAsia="Arial" w:hAnsi="Arial"/>
        <w:color w:val="4B5563"/>
        <w:sz w:val="14"/>
        <w:szCs w:val="14"/>
      </w:rPr>
      <w:t xml:space="preserve">Reuse freely, including with your own logo, with attribution to AI Housers — aihousers.com/road-to-housing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Arial" w:cs="Arial" w:eastAsia="Arial" w:hAnsi="Arial"/>
        <w:color w:val="4B5563"/>
        <w:sz w:val="15"/>
        <w:szCs w:val="15"/>
      </w:rPr>
      <w:t xml:space="preserve">21st Century ROAD to Housing Act · Model board resolution · Public Law 119-101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1B4F7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Arial" w:cs="Arial" w:eastAsia="Arial" w:hAnsi="Arial"/>
      <w:b/>
      <w:bCs/>
      <w:color w:val="154360"/>
      <w:sz w:val="26"/>
      <w:szCs w:val="26"/>
    </w:rPr>
  </w:style>
  <w:style w:type="paragraph" w:styleId="Heading2">
    <w:name w:val="Heading 2"/>
    <w:basedOn w:val="Normal"/>
    <w:next w:val="Normal"/>
    <w:qFormat/>
    <w:rPr>
      <w:rFonts w:ascii="Arial" w:cs="Arial" w:eastAsia="Arial" w:hAnsi="Arial"/>
      <w:b/>
      <w:bCs/>
      <w:color w:val="1B4F7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d29c19467000777720b1133f971811d85354e9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resolution — acknowledging P.L. 119-101 and directing staff action — model document (Public Housing Authorities)</dc:title>
  <dc:creator>AI Housers</dc:creator>
  <dc:description>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 Licence: CC BY 4.0 — https://creativecommons.org/licenses/by/4.0/</dc:description>
  <cp:lastModifiedBy>Un-named</cp:lastModifiedBy>
  <cp:revision>1</cp:revision>
  <dcterms:created xsi:type="dcterms:W3CDTF">2026-08-30T00:37:06.008Z</dcterms:created>
  <dcterms:modified xsi:type="dcterms:W3CDTF">2026-08-30T00:37:06.008Z</dcterms:modified>
</cp:coreProperties>
</file>

<file path=docProps/custom.xml><?xml version="1.0" encoding="utf-8"?>
<Properties xmlns="http://schemas.openxmlformats.org/officeDocument/2006/custom-properties" xmlns:vt="http://schemas.openxmlformats.org/officeDocument/2006/docPropsVTypes"/>
</file>