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1685925" cy="457200"/>
            <wp:effectExtent t="0" r="0" b="0" l="0"/>
            <wp:docPr id="1" name="AI Housers logo" descr="AI Housers — Houser Technologies LLC" title="AI Ho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685925" cy="457200"/>
                    </a:xfrm>
                    <a:prstGeom prst="rect">
                      <a:avLst/>
                    </a:prstGeom>
                  </pic:spPr>
                </pic:pic>
              </a:graphicData>
            </a:graphic>
          </wp:inline>
        </w:drawing>
      </w:r>
    </w:p>
    <w:p>
      <w:pPr>
        <w:pBdr>
          <w:bottom w:val="single" w:color="154360" w:sz="6" w:space="4"/>
        </w:pBdr>
        <w:spacing w:after="0" w:before="60"/>
      </w:pPr>
      <w:r>
        <w:rPr>
          <w:rFonts w:ascii="Arial" w:cs="Arial" w:eastAsia="Arial" w:hAnsi="Arial"/>
          <w:color w:val="4B5563"/>
          <w:sz w:val="17"/>
          <w:szCs w:val="17"/>
        </w:rPr>
        <w:t xml:space="preserve">Prepared from aihousers.com/road-to-housing</w:t>
      </w:r>
    </w:p>
    <w:p>
      <w:pPr>
        <w:spacing w:after="140" w:before="200"/>
      </w:pPr>
      <w:r>
        <w:rPr>
          <w:rFonts w:ascii="Arial" w:cs="Arial" w:eastAsia="Arial" w:hAnsi="Arial"/>
          <w:b/>
          <w:bCs/>
          <w:color w:val="154360"/>
          <w:spacing w:val="40"/>
          <w:sz w:val="40"/>
          <w:szCs w:val="40"/>
        </w:rPr>
        <w:t xml:space="preserve">MEMORANDUM</w:t>
      </w:r>
    </w:p>
    <w:p>
      <w:pPr>
        <w:tabs>
          <w:tab w:val="left" w:pos="1100"/>
        </w:tabs>
        <w:spacing w:after="40" w:line="276"/>
        <w:ind w:left="1100" w:hanging="1100"/>
      </w:pPr>
      <w:r>
        <w:rPr>
          <w:rFonts w:ascii="Arial" w:cs="Arial" w:eastAsia="Arial" w:hAnsi="Arial"/>
          <w:b/>
          <w:bCs/>
          <w:color w:val="154360"/>
          <w:sz w:val="22"/>
          <w:szCs w:val="22"/>
        </w:rPr>
        <w:t xml:space="preserve">TO:	</w:t>
      </w:r>
      <w:r>
        <w:rPr>
          <w:rFonts w:ascii="Arial" w:cs="Arial" w:eastAsia="Arial" w:hAnsi="Arial"/>
          <w:color w:val="1A1A2E"/>
          <w:sz w:val="22"/>
          <w:szCs w:val="22"/>
        </w:rPr>
        <w:t xml:space="preserve">[Board / Leadership Team]</w:t>
      </w:r>
    </w:p>
    <w:p>
      <w:pPr>
        <w:tabs>
          <w:tab w:val="left" w:pos="1100"/>
        </w:tabs>
        <w:spacing w:after="40" w:line="276"/>
        <w:ind w:left="1100" w:hanging="1100"/>
      </w:pPr>
      <w:r>
        <w:rPr>
          <w:rFonts w:ascii="Arial" w:cs="Arial" w:eastAsia="Arial" w:hAnsi="Arial"/>
          <w:b/>
          <w:bCs/>
          <w:color w:val="154360"/>
          <w:sz w:val="22"/>
          <w:szCs w:val="22"/>
        </w:rPr>
        <w:t xml:space="preserve">FROM:	</w:t>
      </w:r>
      <w:r>
        <w:rPr>
          <w:rFonts w:ascii="Arial" w:cs="Arial" w:eastAsia="Arial" w:hAnsi="Arial"/>
          <w:color w:val="1A1A2E"/>
          <w:sz w:val="22"/>
          <w:szCs w:val="22"/>
        </w:rPr>
        <w:t xml:space="preserve">[Name, Title]</w:t>
      </w:r>
    </w:p>
    <w:p>
      <w:pPr>
        <w:tabs>
          <w:tab w:val="left" w:pos="1100"/>
        </w:tabs>
        <w:spacing w:after="40" w:line="276"/>
        <w:ind w:left="1100" w:hanging="1100"/>
      </w:pPr>
      <w:r>
        <w:rPr>
          <w:rFonts w:ascii="Arial" w:cs="Arial" w:eastAsia="Arial" w:hAnsi="Arial"/>
          <w:b/>
          <w:bCs/>
          <w:color w:val="154360"/>
          <w:sz w:val="22"/>
          <w:szCs w:val="22"/>
        </w:rPr>
        <w:t xml:space="preserve">DATE:	</w:t>
      </w:r>
      <w:r>
        <w:rPr>
          <w:rFonts w:ascii="Arial" w:cs="Arial" w:eastAsia="Arial" w:hAnsi="Arial"/>
          <w:color w:val="1A1A2E"/>
          <w:sz w:val="22"/>
          <w:szCs w:val="22"/>
        </w:rPr>
        <w:t xml:space="preserve">[Date]</w:t>
      </w:r>
    </w:p>
    <w:p>
      <w:pPr>
        <w:tabs>
          <w:tab w:val="left" w:pos="1100"/>
        </w:tabs>
        <w:spacing w:after="0" w:line="276"/>
        <w:ind w:left="1100" w:hanging="1100"/>
      </w:pPr>
      <w:r>
        <w:rPr>
          <w:rFonts w:ascii="Arial" w:cs="Arial" w:eastAsia="Arial" w:hAnsi="Arial"/>
          <w:b/>
          <w:bCs/>
          <w:color w:val="154360"/>
          <w:sz w:val="22"/>
          <w:szCs w:val="22"/>
        </w:rPr>
        <w:t xml:space="preserve">RE:	</w:t>
      </w:r>
      <w:r>
        <w:rPr>
          <w:rFonts w:ascii="Arial" w:cs="Arial" w:eastAsia="Arial" w:hAnsi="Arial"/>
          <w:color w:val="1A1A2E"/>
          <w:sz w:val="22"/>
          <w:szCs w:val="22"/>
        </w:rPr>
        <w:t xml:space="preserve">What the 21st Century ROAD to Housing Act means for [Agency Name] (Public Housing Authorities)</w:t>
      </w:r>
    </w:p>
    <w:p>
      <w:pPr>
        <w:pBdr>
          <w:bottom w:val="single" w:color="DDE3EA" w:sz="4" w:space="6"/>
        </w:pBdr>
        <w:spacing w:after="160"/>
      </w:pPr>
      <w:r>
        <w:rPr>
          <w:rFonts w:ascii="Arial" w:cs="Arial" w:eastAsia="Arial" w:hAnsi="Arial"/>
          <w:color w:val="1A1A2E"/>
          <w:sz w:val="4"/>
          <w:szCs w:val="4"/>
        </w:rPr>
        <w:t xml:space="preserve"/>
      </w:r>
    </w:p>
    <w:p>
      <w:pPr>
        <w:pStyle w:val="Heading1"/>
        <w:keepNext/>
        <w:spacing w:after="100" w:before="280" w:line="276"/>
      </w:pPr>
      <w:r>
        <w:rPr>
          <w:rFonts w:ascii="Arial" w:cs="Arial" w:eastAsia="Arial" w:hAnsi="Arial"/>
          <w:b/>
          <w:bCs/>
          <w:color w:val="154360"/>
          <w:sz w:val="26"/>
          <w:szCs w:val="26"/>
        </w:rPr>
        <w:t xml:space="preserve">1. Bottom line</w:t>
      </w:r>
    </w:p>
    <w:p>
      <w:pPr>
        <w:spacing w:after="120" w:line="336"/>
      </w:pPr>
      <w:r>
        <w:rPr>
          <w:rFonts w:ascii="Arial" w:cs="Arial" w:eastAsia="Arial" w:hAnsi="Arial"/>
          <w:b/>
          <w:bCs/>
          <w:color w:val="154360"/>
          <w:sz w:val="22"/>
          <w:szCs w:val="22"/>
        </w:rPr>
        <w:t xml:space="preserve">The Act changes how you run vouchers and RAD today, and it starts a clock on MTW reporting that HUD must meet by early January 2027 — but it authorizes no new money.</w:t>
      </w:r>
    </w:p>
    <w:p>
      <w:pPr>
        <w:spacing w:after="120" w:line="336"/>
      </w:pPr>
      <w:r>
        <w:rPr>
          <w:rFonts w:ascii="Arial" w:cs="Arial" w:eastAsia="Arial" w:hAnsi="Arial"/>
          <w:color w:val="1A1A2E"/>
          <w:sz w:val="22"/>
          <w:szCs w:val="22"/>
        </w:rPr>
        <w:t xml:space="preserve">For housing authorities the ROAD to Housing Act is mostly program reform, not new funding.  Section 212 makes the Rental Assistance Demonstration permanent and raises the conversion cap from 455,000 to 555,000 units, while adding tenant-protection enforcement tools.</w:t>
      </w:r>
    </w:p>
    <w:p>
      <w:pPr>
        <w:pStyle w:val="Heading1"/>
        <w:keepNext/>
        <w:spacing w:after="100" w:before="280" w:line="276"/>
      </w:pPr>
      <w:r>
        <w:rPr>
          <w:rFonts w:ascii="Arial" w:cs="Arial" w:eastAsia="Arial" w:hAnsi="Arial"/>
          <w:b/>
          <w:bCs/>
          <w:color w:val="154360"/>
          <w:sz w:val="26"/>
          <w:szCs w:val="26"/>
        </w:rPr>
        <w:t xml:space="preserve">2. What the law is</w:t>
      </w:r>
    </w:p>
    <w:p>
      <w:pPr>
        <w:pStyle w:val="ListParagraph"/>
        <w:numPr>
          <w:ilvl w:val="0"/>
          <w:numId w:val="2"/>
        </w:numPr>
        <w:spacing w:after="60" w:line="336"/>
      </w:pPr>
      <w:r>
        <w:rPr>
          <w:rFonts w:ascii="Arial" w:cs="Arial" w:eastAsia="Arial" w:hAnsi="Arial"/>
          <w:color w:val="1A1A2E"/>
          <w:sz w:val="22"/>
          <w:szCs w:val="22"/>
        </w:rPr>
        <w:t xml:space="preserve">21st Century ROAD to Housing Act — H.R. 6644 (119th Congress), Public Law 119-101. </w:t>
      </w:r>
      <w:r>
        <w:rPr>
          <w:rFonts w:ascii="Arial" w:cs="Arial" w:eastAsia="Arial" w:hAnsi="Arial"/>
          <w:color w:val="1A1A2E"/>
          <w:sz w:val="22"/>
          <w:szCs w:val="22"/>
        </w:rPr>
        <w:t xml:space="preserve">Enacted July 11, 2026 — became law without the President’s signature.</w:t>
      </w:r>
    </w:p>
    <w:p>
      <w:pPr>
        <w:pStyle w:val="ListParagraph"/>
        <w:numPr>
          <w:ilvl w:val="0"/>
          <w:numId w:val="2"/>
        </w:numPr>
        <w:spacing w:after="60" w:line="336"/>
      </w:pPr>
      <w:r>
        <w:rPr>
          <w:rFonts w:ascii="Arial" w:cs="Arial" w:eastAsia="Arial" w:hAnsi="Arial"/>
          <w:color w:val="1A1A2E"/>
          <w:sz w:val="22"/>
          <w:szCs w:val="22"/>
        </w:rPr>
        <w:t xml:space="preserve">12 titles and 60 sections (Sec. 1 plus Secs. 101–1202), reforming how existing HUD, USDA, FHA, and VA housing programs run.</w:t>
      </w:r>
    </w:p>
    <w:p>
      <w:pPr>
        <w:pStyle w:val="ListParagraph"/>
        <w:numPr>
          <w:ilvl w:val="0"/>
          <w:numId w:val="2"/>
        </w:numPr>
        <w:spacing w:after="60" w:line="336"/>
      </w:pPr>
      <w:r>
        <w:rPr>
          <w:rFonts w:ascii="Arial" w:cs="Arial" w:eastAsia="Arial" w:hAnsi="Arial"/>
          <w:color w:val="1A1A2E"/>
          <w:sz w:val="22"/>
          <w:szCs w:val="22"/>
        </w:rPr>
        <w:t xml:space="preserve">Final passage: Senate 85–5, June 22, 2026 (Vote 182); House 358–32, June 23, 2026 (Roll Call 224) — cleared for the President.</w:t>
      </w:r>
    </w:p>
    <w:p>
      <w:pPr>
        <w:pStyle w:val="ListParagraph"/>
        <w:numPr>
          <w:ilvl w:val="0"/>
          <w:numId w:val="2"/>
        </w:numPr>
        <w:spacing w:after="60" w:line="336"/>
      </w:pPr>
      <w:r>
        <w:rPr>
          <w:rFonts w:ascii="Arial" w:cs="Arial" w:eastAsia="Arial" w:hAnsi="Arial"/>
          <w:color w:val="1A1A2E"/>
          <w:sz w:val="22"/>
          <w:szCs w:val="22"/>
        </w:rPr>
        <w:t xml:space="preserve">Money: the Act is mostly authorizations and reforms, not appropriations. Sec. 1202 authorizes no additional funds; the largest new authorization is the Innovation Fund at $200M / yr (Sec. 208), not yet appropriated.</w:t>
      </w:r>
    </w:p>
    <w:p>
      <w:pPr>
        <w:pStyle w:val="ListParagraph"/>
        <w:numPr>
          <w:ilvl w:val="0"/>
          <w:numId w:val="2"/>
        </w:numPr>
        <w:spacing w:after="60" w:line="336"/>
      </w:pPr>
      <w:r>
        <w:rPr>
          <w:rFonts w:ascii="Arial" w:cs="Arial" w:eastAsia="Arial" w:hAnsi="Arial"/>
          <w:color w:val="1A1A2E"/>
          <w:sz w:val="22"/>
          <w:szCs w:val="22"/>
        </w:rPr>
        <w:t xml:space="preserve">Clock: the first big deadline cluster lands Jan 7, 2027 — 180 days after enactment — investor ban takes effect; several HUD/USDA deliverables due.</w:t>
      </w:r>
    </w:p>
    <w:p>
      <w:pPr>
        <w:pStyle w:val="Heading1"/>
        <w:keepNext/>
        <w:spacing w:after="100" w:before="280" w:line="276"/>
      </w:pPr>
      <w:r>
        <w:rPr>
          <w:rFonts w:ascii="Arial" w:cs="Arial" w:eastAsia="Arial" w:hAnsi="Arial"/>
          <w:b/>
          <w:bCs/>
          <w:color w:val="154360"/>
          <w:sz w:val="26"/>
          <w:szCs w:val="26"/>
        </w:rPr>
        <w:t xml:space="preserve">3. What changes for us</w:t>
      </w:r>
    </w:p>
    <w:p>
      <w:pPr>
        <w:spacing w:after="120" w:line="336"/>
      </w:pPr>
      <w:r>
        <w:rPr>
          <w:rFonts w:ascii="Arial" w:cs="Arial" w:eastAsia="Arial" w:hAnsi="Arial"/>
          <w:color w:val="1A1A2E"/>
          <w:sz w:val="22"/>
          <w:szCs w:val="22"/>
        </w:rPr>
        <w:t xml:space="preserve">The provisions most relevant to public housing authorities, in section order. Full plain-language summaries are on the hub.</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150"/>
        <w:gridCol w:w="3030"/>
        <w:gridCol w:w="5900"/>
      </w:tblGrid>
      <w:tr>
        <w:trPr>
          <w:cantSplit/>
          <w:tblHeader/>
        </w:trPr>
        <w:tc>
          <w:tcPr>
            <w:tcW w:type="dxa" w:w="115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Sec.</w:t>
            </w:r>
          </w:p>
        </w:tc>
        <w:tc>
          <w:tcPr>
            <w:tcW w:type="dxa" w:w="303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Provision</w:t>
            </w:r>
          </w:p>
        </w:tc>
        <w:tc>
          <w:tcPr>
            <w:tcW w:type="dxa" w:w="59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What it means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405</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Choice in Affordable Housing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Streamlines Housing Choice Voucher inspections.  A unit in a LIHTC, HOME-assisted, or USDA Rural Housing Service-assisted property that passed a physical inspection in the prior 12 months is deemed to meet HCV inspection requirements if the PHA can obtain the results; HUD may allow remote or video inspections in rural or small areas if they are thorough a…</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212</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Rental Assistance Demonstration Program</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Makes the Rental Assistance Demonstration (RAD) permanent by removing its September 30, 2029 end date, raises the public housing conversion cap from 455,000 to 555,000 units, and layers on accountability: HUD must annually assess and publish the impacts of First Component conversions on preservation, leveraging, res…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505</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New Moving to Work Cohort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HUD to add up to 25 high-performing public housing agencies to a new Moving to Work (MTW) cohort — the "Economic Opportunity and Pathways to Independence Cohort" — but only after HUD files a first comprehensive MTW report to Congress.</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404</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Helping More Families Save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Adds an "Escrow Expansion Pilot Program" to the Family Self-Sufficiency statute.</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602</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Housing Unhoused Disabled Veterans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Fixes a long-standing barrier for disabled veterans: VA disability compensation and pension (38 U.S.C. chapters 11 and 15) no longer counts when determining income eligibility for HUD-VASH, or when a HUD-VASH household is evaluated for other housing assistance.</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803</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Improving Self-Sufficiency of Families in HUD-Subsidized Housing</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Orders a HUD study of work requirements that Moving to Work agencies adopted before enactment — their short-, medium- and long-term effects on homelessness, poverty, asset building, earnings, job attainment and retention, and PHA administrative capacity — using both quantitative data and interviews with participants…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805</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Improving Public Housing Agency Accountability</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New transparency duties for the small set of "covered" public housing agencies — defined in the past tense and more broadly than it may look: a PHA "for which an administrative or judicial receiver or Federal monitor was appointed," whether or not the appointment is still in force.</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106</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Temperature Sensor Pilot Program</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Creates a HUD grant pilot for PHAs and owners of public housing, project-based Section 8, Section 202, and Section 811 units to buy, install, and test HUD-approved internet-connected temperature sensors — only with each resident’s written permission — to check that units stay within temperature requirements.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205</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Better Use of Intergovernmental and Local Development (BUILD) Housing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Lets HUD designate any assistance it administers as a "special project" for environmental review, which allows states, localities, and — newly — federally recognized Indian Tribes to assume HUD’s NEPA responsibilities.</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206</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Unlocking Housing Supply Through Streamlined and Modernized Reviews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Directs HUD to rewrite its environmental review regulations (24 CFR parts 50 and 58) through notice-and-comment rulemaking so that a long list of housing activities are exempt or categorically excluded from NEPA review.</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501</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HOME Investment Partnerships Reauthorization and Reform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 top-to-bottom modernization of HOME, the block grant that states and larger localities use for affordable rental and homeownership housing.</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503</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Incentivizing Local Solutions to Homelessness</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Gives Emergency Solutions Grants (ESG) recipients a way to spend more than the statutory cap on emergency shelter and street outreach.</w:t>
            </w:r>
          </w:p>
        </w:tc>
      </w:tr>
    </w:tbl>
    <w:p>
      <w:pPr>
        <w:pStyle w:val="Heading1"/>
        <w:keepNext/>
        <w:spacing w:after="100" w:before="280" w:line="276"/>
      </w:pPr>
      <w:r>
        <w:rPr>
          <w:rFonts w:ascii="Arial" w:cs="Arial" w:eastAsia="Arial" w:hAnsi="Arial"/>
          <w:b/>
          <w:bCs/>
          <w:color w:val="154360"/>
          <w:sz w:val="26"/>
          <w:szCs w:val="26"/>
        </w:rPr>
        <w:t xml:space="preserve">4. Deadlines to calendar</w:t>
      </w:r>
    </w:p>
    <w:p>
      <w:pPr>
        <w:spacing w:after="120" w:line="336"/>
      </w:pPr>
      <w:r>
        <w:rPr>
          <w:rFonts w:ascii="Arial" w:cs="Arial" w:eastAsia="Arial" w:hAnsi="Arial"/>
          <w:color w:val="1A1A2E"/>
          <w:sz w:val="22"/>
          <w:szCs w:val="22"/>
        </w:rPr>
        <w:t xml:space="preserve">Statutory dates derived from the July 11, 2026 enactment. Dates the hub already tracks as met are not listed. “Who” is the agency the statute names; add your internal owner in the margin.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400"/>
        <w:gridCol w:w="7280"/>
        <w:gridCol w:w="1400"/>
      </w:tblGrid>
      <w:tr>
        <w:trPr>
          <w:cantSplit/>
          <w:tblHeader/>
        </w:trPr>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Date</w:t>
            </w:r>
          </w:p>
        </w:tc>
        <w:tc>
          <w:tcPr>
            <w:tcW w:type="dxa" w:w="728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Action</w:t>
            </w:r>
          </w:p>
        </w:tc>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Who</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Oct 1, 2026</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Each receiver or federal monitor currently overseeing a covered public housing agency delivers a written assessment of its management and oversight activities to House Financial Services and Senate Banking (first one due Oct 1, 2026, then annually). (Sec. 805)</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Other</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Oct 1, 2026</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 must require each covered public housing agency to send an annual notice stating whether a receiver or Federal monitor remains appointed as of October 1, the date the appointment began and its projected end date, and the identity of the current receiver or monitor (§805(b)). (Sec. 805)</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Set eligibility criteria for PHAs and owners to join the temperature sensor pilot, define "temperature-related complaints" and "temperature-related violations," and set standards for protecting personally identifiable information collected in the pilot. (Sec. 106)</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Submit the first comprehensive annual report to Congress on every Moving to Work cohort (administrative plans, longitudinal data, use of flexibilities). (Sec. 505)</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 USDA, and VA jointly report to Congress on opportunities to collaborate and reduce inefficiencies across their housing programs, including laws and regulations that get in the way (HUD-USDA-VA Interagency Coordination Act). (Sec. 801)</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Report initial findings to Senate Banking and House Financial Services from the study of work requirements that certain Moving to Work agencies implemented before enactment (benefits, challenges, and effects on residents and PHA capacity) — but only if HUD first makes the §803(b) determination. (Sec. 803)</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Deliver four GAO reports: obstacles to affordable housing for middle-income households; options to improve housing for elderly and disabled persons (Section 202/811); how many homes and public housing units sit within one mile of a Superfund NPL site; and a definition and analysis of residential heirs property. (Sec. 804)</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GAO</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Require each covered PHA (one under a federal receiver or monitor) to post on its website details of every contract from the prior year: goods and services, vendor, solicitation date, bids and quotes, and the soliciting official. (Sec. 805)</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bl>
    <w:p>
      <w:pPr>
        <w:pStyle w:val="Heading1"/>
        <w:keepNext/>
        <w:spacing w:after="100" w:before="280" w:line="276"/>
      </w:pPr>
      <w:r>
        <w:rPr>
          <w:rFonts w:ascii="Arial" w:cs="Arial" w:eastAsia="Arial" w:hAnsi="Arial"/>
          <w:b/>
          <w:bCs/>
          <w:color w:val="154360"/>
          <w:sz w:val="26"/>
          <w:szCs w:val="26"/>
        </w:rPr>
        <w:t xml:space="preserve">5. Recommended actions</w:t>
      </w:r>
    </w:p>
    <w:p>
      <w:pPr>
        <w:spacing w:after="120" w:line="336"/>
      </w:pPr>
      <w:r>
        <w:rPr>
          <w:rFonts w:ascii="Arial" w:cs="Arial" w:eastAsia="Arial" w:hAnsi="Arial"/>
          <w:color w:val="1A1A2E"/>
          <w:sz w:val="22"/>
          <w:szCs w:val="22"/>
        </w:rPr>
        <w:t xml:space="preserve">Grouped by suggested horizon. Assign an owner and a due date to each line you keep.</w:t>
      </w:r>
    </w:p>
    <w:p>
      <w:pPr>
        <w:pStyle w:val="Heading2"/>
        <w:keepNext/>
        <w:spacing w:after="60" w:before="160" w:line="276"/>
      </w:pPr>
      <w:r>
        <w:rPr>
          <w:rFonts w:ascii="Arial" w:cs="Arial" w:eastAsia="Arial" w:hAnsi="Arial"/>
          <w:b/>
          <w:bCs/>
          <w:color w:val="1B4F72"/>
          <w:sz w:val="22"/>
          <w:szCs w:val="22"/>
        </w:rPr>
        <w:t xml:space="preserve">Now</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Brief your board on the Act: Sections 212 (RAD), 405 (HCV inspections), 505 (MTW), 404 (FSS escrow pilot), 602 (HUD-VASH income), 805 (accountability), 106 (temperature sensors), and 205–206 (environmental review) — and note Section 1202 authorizes no new money.</w:t>
      </w:r>
      <w:r>
        <w:rPr>
          <w:rFonts w:ascii="Arial" w:cs="Arial" w:eastAsia="Arial" w:hAnsi="Arial"/>
          <w:color w:val="4B5563"/>
          <w:sz w:val="18"/>
          <w:szCs w:val="18"/>
        </w:rPr>
        <w:t xml:space="preserve">  (Sec. 212, 405, 505, 404, 602, 805, 106, 205, 206, 1202)</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Update HUD-VASH intake procedures so VA disability compensation and pension (38 U.S.C. chapters 11 and 15) are excluded when determining income eligibility — but not from adjusted income for rent.</w:t>
      </w:r>
      <w:r>
        <w:rPr>
          <w:rFonts w:ascii="Arial" w:cs="Arial" w:eastAsia="Arial" w:hAnsi="Arial"/>
          <w:color w:val="4B5563"/>
          <w:sz w:val="18"/>
          <w:szCs w:val="18"/>
        </w:rPr>
        <w:t xml:space="preserve">  (Sec. 602)</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Next 90 days</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Amend your HCV Administrative Plan to implement the automatic deeming of qualifying LIHTC, HOME, and USDA-RHS inspection results from the prior 12 months, add a remote or video inspection protocol (to take effect if and when HUD allows it) if you serve rural or small areas, and add a new-landlord pre-inspection procedure with the 60-day lease-up window.</w:t>
      </w:r>
      <w:r>
        <w:rPr>
          <w:rFonts w:ascii="Arial" w:cs="Arial" w:eastAsia="Arial" w:hAnsi="Arial"/>
          <w:color w:val="4B5563"/>
          <w:sz w:val="18"/>
          <w:szCs w:val="18"/>
        </w:rPr>
        <w:t xml:space="preserve">  (Sec. 405)</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Set up data-sharing agreements with your state HFA (LIHTC), local HOME participating jurisdiction, and USDA Rural Development so you can actually obtain the inspection results the statute’s deeming rule turns on.</w:t>
      </w:r>
      <w:r>
        <w:rPr>
          <w:rFonts w:ascii="Arial" w:cs="Arial" w:eastAsia="Arial" w:hAnsi="Arial"/>
          <w:color w:val="4B5563"/>
          <w:sz w:val="18"/>
          <w:szCs w:val="18"/>
        </w:rPr>
        <w:t xml:space="preserve">  (Sec. 405)</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Submit or refresh RAD Letters of Interest and portfolio plans, and audit compliance with RAD tenant protections (right to return, no rescreening, resident organizing) now that HUD can impose civil money penalties for material violations.</w:t>
      </w:r>
      <w:r>
        <w:rPr>
          <w:rFonts w:ascii="Arial" w:cs="Arial" w:eastAsia="Arial" w:hAnsi="Arial"/>
          <w:color w:val="4B5563"/>
          <w:sz w:val="18"/>
          <w:szCs w:val="18"/>
        </w:rPr>
        <w:t xml:space="preserve">  (Sec. 212)</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By end of 2026</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If you are an existing MTW agency (any cohort), expect HUD data calls this fall for the comprehensive report due about January 7, 2027 — make sure your MTW plan, Section 8 Administrative Plan, and ACOP are current and postable, and start capturing eviction, hardship-policy, turnover, and landlord-incentive metrics.</w:t>
      </w:r>
      <w:r>
        <w:rPr>
          <w:rFonts w:ascii="Arial" w:cs="Arial" w:eastAsia="Arial" w:hAnsi="Arial"/>
          <w:color w:val="4B5563"/>
          <w:sz w:val="18"/>
          <w:szCs w:val="18"/>
        </w:rPr>
        <w:t xml:space="preserve">  (Sec. 505)</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If your agency is under a federal monitor or receiver, prepare the annual notice to HUD, coordinate with the monitor on the October 1 assessment to Congress, and stand up a contract-disclosure web page ahead of HUD’s rule due by July 11, 2027.</w:t>
      </w:r>
      <w:r>
        <w:rPr>
          <w:rFonts w:ascii="Arial" w:cs="Arial" w:eastAsia="Arial" w:hAnsi="Arial"/>
          <w:color w:val="4B5563"/>
          <w:sz w:val="18"/>
          <w:szCs w:val="18"/>
        </w:rPr>
        <w:t xml:space="preserve">  (Sec. 805)</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Meet the HOTMA Sections 102/104 compliance date of January 1, 2027 set by Notice PIH 2026-15 (MTW agencies await separate guidance) alongside the Act’s changes.</w:t>
      </w:r>
      <w:r>
        <w:rPr>
          <w:rFonts w:ascii="Arial" w:cs="Arial" w:eastAsia="Arial" w:hAnsi="Arial"/>
          <w:color w:val="4B5563"/>
          <w:sz w:val="18"/>
          <w:szCs w:val="18"/>
        </w:rPr>
        <w:t xml:space="preserve">  (Sec. 505)</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In 2027</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If you administer 27,000 or fewer combined vouchers and public housing units and are a PHAS or SEMAP high performer, decide whether to compete for the new Economic Opportunity and Pathways to Independence Cohort and draft a concept using only permitted Appendix I waivers (no work requirements, time limits, or the excluded rent-reform waivers).</w:t>
      </w:r>
      <w:r>
        <w:rPr>
          <w:rFonts w:ascii="Arial" w:cs="Arial" w:eastAsia="Arial" w:hAnsi="Arial"/>
          <w:color w:val="4B5563"/>
          <w:sz w:val="18"/>
          <w:szCs w:val="18"/>
        </w:rPr>
        <w:t xml:space="preserve">  (Sec. 505)</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Decide whether to apply for the FSS Escrow Expansion Pilot (up to 25 PHAs and PBRA owners, up to 5,000 families) and model the cash impact of funding opt-out escrow deposits from Section 8 or 9 funds.</w:t>
      </w:r>
      <w:r>
        <w:rPr>
          <w:rFonts w:ascii="Arial" w:cs="Arial" w:eastAsia="Arial" w:hAnsi="Arial"/>
          <w:color w:val="4B5563"/>
          <w:sz w:val="18"/>
          <w:szCs w:val="18"/>
        </w:rPr>
        <w:t xml:space="preserve">  (Sec. 404)</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Watch</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Keep pre- and post-enactment funds separate in Capital Fund, RAD, and PBV development pipelines, and plan to comment on HUD’s Section 206 categorical-exclusion rule when it is proposed.</w:t>
      </w:r>
      <w:r>
        <w:rPr>
          <w:rFonts w:ascii="Arial" w:cs="Arial" w:eastAsia="Arial" w:hAnsi="Arial"/>
          <w:color w:val="4B5563"/>
          <w:sz w:val="18"/>
          <w:szCs w:val="18"/>
        </w:rPr>
        <w:t xml:space="preserve">  (Sec. 205, 206)</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Watch for a HUD NOFO under the Temperature Sensor Pilot (Section 106) if you have public housing, PBRA, 202, or 811 units with heating or cooling complaints; HUD must set eligibility criteria and PII standards by about January 7, 2027.</w:t>
      </w:r>
      <w:r>
        <w:rPr>
          <w:rFonts w:ascii="Arial" w:cs="Arial" w:eastAsia="Arial" w:hAnsi="Arial"/>
          <w:color w:val="4B5563"/>
          <w:sz w:val="18"/>
          <w:szCs w:val="18"/>
        </w:rPr>
        <w:t xml:space="preserve">  (Sec. 106)</w:t>
      </w:r>
      <w:r>
        <w:rPr>
          <w:rFonts w:ascii="Arial" w:cs="Arial" w:eastAsia="Arial" w:hAnsi="Arial"/>
          <w:color w:val="A66A15"/>
          <w:sz w:val="18"/>
          <w:szCs w:val="18"/>
        </w:rPr>
        <w:t xml:space="preserve">  [Owner]  [Due]</w:t>
      </w:r>
    </w:p>
    <w:p>
      <w:pPr>
        <w:pStyle w:val="Heading1"/>
        <w:keepNext/>
        <w:spacing w:after="100" w:before="280" w:line="276"/>
      </w:pPr>
      <w:r>
        <w:rPr>
          <w:rFonts w:ascii="Arial" w:cs="Arial" w:eastAsia="Arial" w:hAnsi="Arial"/>
          <w:b/>
          <w:bCs/>
          <w:color w:val="154360"/>
          <w:sz w:val="26"/>
          <w:szCs w:val="26"/>
        </w:rPr>
        <w:t xml:space="preserve">6. Watch-outs</w:t>
      </w:r>
    </w:p>
    <w:p>
      <w:pPr>
        <w:pStyle w:val="ListParagraph"/>
        <w:numPr>
          <w:ilvl w:val="0"/>
          <w:numId w:val="2"/>
        </w:numPr>
        <w:spacing w:after="60" w:line="336"/>
      </w:pPr>
      <w:r>
        <w:rPr>
          <w:rFonts w:ascii="Arial" w:cs="Arial" w:eastAsia="Arial" w:hAnsi="Arial"/>
          <w:color w:val="1A1A2E"/>
          <w:sz w:val="22"/>
          <w:szCs w:val="22"/>
        </w:rPr>
        <w:t xml:space="preserve">No new money: Section 1202 says no additional funds are authorized, so the FSS pilot, temperature sensors, and MTW research all depend on appropriations that have not been made as of August 2026.</w:t>
      </w:r>
    </w:p>
    <w:p>
      <w:pPr>
        <w:pStyle w:val="ListParagraph"/>
        <w:numPr>
          <w:ilvl w:val="0"/>
          <w:numId w:val="2"/>
        </w:numPr>
        <w:spacing w:after="60" w:line="336"/>
      </w:pPr>
      <w:r>
        <w:rPr>
          <w:rFonts w:ascii="Arial" w:cs="Arial" w:eastAsia="Arial" w:hAnsi="Arial"/>
          <w:color w:val="1A1A2E"/>
          <w:sz w:val="22"/>
          <w:szCs w:val="22"/>
        </w:rPr>
        <w:t xml:space="preserve">HUD guidance gap: no PIH notice, RAD notice revision, or MTW cohort notice citing the Act had been located as of August 29, 2026 — the statute is effective, but expect HUD to fill in documentation rules (for example, how to show you can "obtain" another program’s inspection results).</w:t>
      </w:r>
    </w:p>
    <w:p>
      <w:pPr>
        <w:pStyle w:val="ListParagraph"/>
        <w:numPr>
          <w:ilvl w:val="0"/>
          <w:numId w:val="2"/>
        </w:numPr>
        <w:spacing w:after="60" w:line="336"/>
      </w:pPr>
      <w:r>
        <w:rPr>
          <w:rFonts w:ascii="Arial" w:cs="Arial" w:eastAsia="Arial" w:hAnsi="Arial"/>
          <w:color w:val="1A1A2E"/>
          <w:sz w:val="22"/>
          <w:szCs w:val="22"/>
        </w:rPr>
        <w:t xml:space="preserve">MTW reporting applies to all cohorts, not just the new one; NAHRO and CLPHA have both said they will press HUD to keep it workable.</w:t>
      </w:r>
    </w:p>
    <w:p>
      <w:pPr>
        <w:pStyle w:val="ListParagraph"/>
        <w:numPr>
          <w:ilvl w:val="0"/>
          <w:numId w:val="2"/>
        </w:numPr>
        <w:spacing w:after="60" w:line="336"/>
      </w:pPr>
      <w:r>
        <w:rPr>
          <w:rFonts w:ascii="Arial" w:cs="Arial" w:eastAsia="Arial" w:hAnsi="Arial"/>
          <w:color w:val="1A1A2E"/>
          <w:sz w:val="22"/>
          <w:szCs w:val="22"/>
        </w:rPr>
        <w:t xml:space="preserve">What did not pass: no HCV landlord incentive fund, security-deposit assistance, SAFMR mandate, third-party income verification, or small-PHA regulatory relief made it into the final law.</w:t>
      </w:r>
    </w:p>
    <w:p>
      <w:pPr>
        <w:pStyle w:val="ListParagraph"/>
        <w:numPr>
          <w:ilvl w:val="0"/>
          <w:numId w:val="2"/>
        </w:numPr>
        <w:spacing w:after="60" w:line="336"/>
      </w:pPr>
      <w:r>
        <w:rPr>
          <w:rFonts w:ascii="Arial" w:cs="Arial" w:eastAsia="Arial" w:hAnsi="Arial"/>
          <w:color w:val="1A1A2E"/>
          <w:sz w:val="22"/>
          <w:szCs w:val="22"/>
        </w:rPr>
        <w:t xml:space="preserve">Section 505 bars the new cohort from work requirements and time limits. The waiver numbers are Appendix I numbers from HUD’s Final MTW Expansion Operations Notice, Part VI (pp. 36–38): 12 is Work Requirement, 6 is Short-Term Assistance and 7 is Term-Limited Assistance. Waivers 10 (FSS with MTW Flexibility) and 11 (MTW Self-Sufficiency Program) are permitted, which is why §505(c)(3)(B) makes resident participation in them optional. HUD’s separate proposed rule on work requirements and term limits (March 2026) is still pending and interacts with this.</w:t>
      </w:r>
    </w:p>
    <w:p>
      <w:pPr>
        <w:pStyle w:val="ListParagraph"/>
        <w:numPr>
          <w:ilvl w:val="0"/>
          <w:numId w:val="2"/>
        </w:numPr>
        <w:spacing w:after="60" w:line="336"/>
      </w:pPr>
      <w:r>
        <w:rPr>
          <w:rFonts w:ascii="Arial" w:cs="Arial" w:eastAsia="Arial" w:hAnsi="Arial"/>
          <w:color w:val="1A1A2E"/>
          <w:sz w:val="22"/>
          <w:szCs w:val="22"/>
        </w:rPr>
        <w:t xml:space="preserve">PHAs are expressly excluded from the institutional-investor purchase ban in Section 1001 (government entities are not "large institutional investors").</w:t>
      </w:r>
    </w:p>
    <w:p>
      <w:pPr>
        <w:pStyle w:val="Heading1"/>
        <w:keepNext/>
        <w:spacing w:after="100" w:before="280" w:line="276"/>
      </w:pPr>
      <w:r>
        <w:rPr>
          <w:rFonts w:ascii="Arial" w:cs="Arial" w:eastAsia="Arial" w:hAnsi="Arial"/>
          <w:b/>
          <w:bCs/>
          <w:color w:val="154360"/>
          <w:sz w:val="26"/>
          <w:szCs w:val="26"/>
        </w:rPr>
        <w:t xml:space="preserve">7. Questions we still have</w:t>
      </w:r>
    </w:p>
    <w:p>
      <w:pPr>
        <w:keepNext/>
        <w:spacing w:after="120" w:line="336"/>
      </w:pPr>
      <w:r>
        <w:rPr>
          <w:rFonts w:ascii="Arial" w:cs="Arial" w:eastAsia="Arial" w:hAnsi="Arial"/>
          <w:color w:val="1A1A2E"/>
          <w:sz w:val="22"/>
          <w:szCs w:val="22"/>
        </w:rPr>
        <w:t xml:space="preserve">Open items the hub could not pin down as of its last review. Track them before relying on the underlying provision.</w:t>
      </w:r>
    </w:p>
    <w:p>
      <w:pPr>
        <w:pStyle w:val="ListParagraph"/>
        <w:numPr>
          <w:ilvl w:val="0"/>
          <w:numId w:val="2"/>
        </w:numPr>
        <w:spacing w:after="60" w:line="336"/>
      </w:pPr>
      <w:r>
        <w:rPr>
          <w:rFonts w:ascii="Arial" w:cs="Arial" w:eastAsia="Arial" w:hAnsi="Arial"/>
          <w:color w:val="1A1A2E"/>
          <w:sz w:val="22"/>
          <w:szCs w:val="22"/>
        </w:rPr>
        <w:t xml:space="preserve">Whether HUD will treat §405 "deemed" LIHTC/HOME/RHS inspections as satisfying periodic (biennial NSPIRE-V) inspections or only initial inspections.</w:t>
      </w:r>
    </w:p>
    <w:p>
      <w:pPr>
        <w:pStyle w:val="ListParagraph"/>
        <w:numPr>
          <w:ilvl w:val="0"/>
          <w:numId w:val="2"/>
        </w:numPr>
        <w:spacing w:after="60" w:line="336"/>
      </w:pPr>
      <w:r>
        <w:rPr>
          <w:rFonts w:ascii="Arial" w:cs="Arial" w:eastAsia="Arial" w:hAnsi="Arial"/>
          <w:color w:val="1A1A2E"/>
          <w:sz w:val="22"/>
          <w:szCs w:val="22"/>
        </w:rPr>
        <w:t xml:space="preserve">The status of HUD’s separate work-requirements and term-limits proposed rule (March 2, 2026) and how it interacts with §505’s bar on waiver 12 for the new MTW cohort and the §803 work-requirements study.</w:t>
      </w:r>
    </w:p>
    <w:p>
      <w:pPr>
        <w:pStyle w:val="ListParagraph"/>
        <w:numPr>
          <w:ilvl w:val="0"/>
          <w:numId w:val="2"/>
        </w:numPr>
        <w:spacing w:after="60" w:line="336"/>
      </w:pPr>
      <w:r>
        <w:rPr>
          <w:rFonts w:ascii="Arial" w:cs="Arial" w:eastAsia="Arial" w:hAnsi="Arial"/>
          <w:color w:val="1A1A2E"/>
          <w:sz w:val="22"/>
          <w:szCs w:val="22"/>
        </w:rPr>
        <w:t xml:space="preserve">Whether FY2027 appropriations will fund the Innovation Fund (§208, $200 million authorized), planning grants (§207), Whole-Home Repairs (§202), RESIDE (§210), PRICE (§304), the temperature-sensor pilot (§106), or the Long-Term Disaster Recovery Fund (§504).</w:t>
      </w:r>
    </w:p>
    <w:p>
      <w:pPr>
        <w:pStyle w:val="ListParagraph"/>
        <w:numPr>
          <w:ilvl w:val="0"/>
          <w:numId w:val="2"/>
        </w:numPr>
        <w:spacing w:after="60" w:line="336"/>
      </w:pPr>
      <w:r>
        <w:rPr>
          <w:rFonts w:ascii="Arial" w:cs="Arial" w:eastAsia="Arial" w:hAnsi="Arial"/>
          <w:color w:val="1A1A2E"/>
          <w:sz w:val="22"/>
          <w:szCs w:val="22"/>
        </w:rPr>
        <w:t xml:space="preserve">Whether §501(e)’s new HOME infrastructure authority excludes every state participating jurisdiction.</w:t>
      </w:r>
    </w:p>
    <w:p>
      <w:pPr>
        <w:pStyle w:val="Heading1"/>
        <w:keepNext/>
        <w:spacing w:after="100" w:before="280" w:line="276"/>
      </w:pPr>
      <w:r>
        <w:rPr>
          <w:rFonts w:ascii="Arial" w:cs="Arial" w:eastAsia="Arial" w:hAnsi="Arial"/>
          <w:b/>
          <w:bCs/>
          <w:color w:val="154360"/>
          <w:sz w:val="26"/>
          <w:szCs w:val="26"/>
        </w:rPr>
        <w:t xml:space="preserve">8. Sources</w:t>
      </w:r>
    </w:p>
    <w:p>
      <w:pPr>
        <w:pStyle w:val="ListParagraph"/>
        <w:keepNext w:val="false"/>
        <w:numPr>
          <w:ilvl w:val="0"/>
          <w:numId w:val="2"/>
        </w:numPr>
        <w:spacing w:after="40" w:line="288"/>
      </w:pPr>
      <w:r>
        <w:rPr>
          <w:rFonts w:ascii="Arial" w:cs="Arial" w:eastAsia="Arial" w:hAnsi="Arial"/>
          <w:b/>
          <w:bCs/>
          <w:color w:val="1A1A2E"/>
          <w:sz w:val="22"/>
          <w:szCs w:val="22"/>
        </w:rPr>
        <w:t xml:space="preserve">AI Housers hub — </w:t>
      </w:r>
      <w:r>
        <w:rPr>
          <w:rFonts w:ascii="Arial" w:cs="Arial" w:eastAsia="Arial" w:hAnsi="Arial"/>
          <w:color w:val="0A66C2"/>
          <w:sz w:val="22"/>
          <w:szCs w:val="22"/>
        </w:rPr>
        <w:t xml:space="preserve">https://aihousers.com/road-to-housing/for/pha</w:t>
      </w:r>
    </w:p>
    <w:p>
      <w:pPr>
        <w:pStyle w:val="ListParagraph"/>
        <w:keepNext w:val="false"/>
        <w:numPr>
          <w:ilvl w:val="0"/>
          <w:numId w:val="2"/>
        </w:numPr>
        <w:spacing w:after="40" w:line="288"/>
      </w:pPr>
      <w:r>
        <w:rPr>
          <w:rFonts w:ascii="Arial" w:cs="Arial" w:eastAsia="Arial" w:hAnsi="Arial"/>
          <w:color w:val="1A1A2E"/>
          <w:sz w:val="22"/>
          <w:szCs w:val="22"/>
        </w:rPr>
        <w:t xml:space="preserve">H.R. 6644 — Enrolled bill text (21st Century ROAD to Housing Act) (GovInfo (GPO)) — </w:t>
      </w:r>
      <w:r>
        <w:rPr>
          <w:rFonts w:ascii="Arial" w:cs="Arial" w:eastAsia="Arial" w:hAnsi="Arial"/>
          <w:color w:val="0A66C2"/>
          <w:sz w:val="16"/>
          <w:szCs w:val="16"/>
        </w:rPr>
        <w:t xml:space="preserve">https://www.govinfo.gov/content/pkg/BILLS-119hr6644enr/html/BILLS-119hr6644enr.htm</w:t>
      </w:r>
    </w:p>
    <w:p>
      <w:pPr>
        <w:pStyle w:val="ListParagraph"/>
        <w:keepNext w:val="false"/>
        <w:numPr>
          <w:ilvl w:val="0"/>
          <w:numId w:val="2"/>
        </w:numPr>
        <w:spacing w:after="40" w:line="288"/>
      </w:pPr>
      <w:r>
        <w:rPr>
          <w:rFonts w:ascii="Arial" w:cs="Arial" w:eastAsia="Arial" w:hAnsi="Arial"/>
          <w:color w:val="1A1A2E"/>
          <w:sz w:val="22"/>
          <w:szCs w:val="22"/>
        </w:rPr>
        <w:t xml:space="preserve">BPC — What’s in the 21st Century ROAD to Housing Act? (Bipartisan Policy Center) — </w:t>
      </w:r>
      <w:r>
        <w:rPr>
          <w:rFonts w:ascii="Arial" w:cs="Arial" w:eastAsia="Arial" w:hAnsi="Arial"/>
          <w:color w:val="0A66C2"/>
          <w:sz w:val="16"/>
          <w:szCs w:val="16"/>
        </w:rPr>
        <w:t xml:space="preserve">https://bipartisanpolicy.org/explainer/whats-in-the-21st-century-road-to-housing-act/</w:t>
      </w:r>
    </w:p>
    <w:p>
      <w:pPr>
        <w:pStyle w:val="ListParagraph"/>
        <w:keepNext w:val="false"/>
        <w:numPr>
          <w:ilvl w:val="0"/>
          <w:numId w:val="2"/>
        </w:numPr>
        <w:spacing w:after="40" w:line="288"/>
      </w:pPr>
      <w:r>
        <w:rPr>
          <w:rFonts w:ascii="Arial" w:cs="Arial" w:eastAsia="Arial" w:hAnsi="Arial"/>
          <w:color w:val="1A1A2E"/>
          <w:sz w:val="22"/>
          <w:szCs w:val="22"/>
        </w:rPr>
        <w:t xml:space="preserve">BPC — 21st Century ROAD to Housing Act Implementation Tracker (Bipartisan Policy Center) — </w:t>
      </w:r>
      <w:r>
        <w:rPr>
          <w:rFonts w:ascii="Arial" w:cs="Arial" w:eastAsia="Arial" w:hAnsi="Arial"/>
          <w:color w:val="0A66C2"/>
          <w:sz w:val="16"/>
          <w:szCs w:val="16"/>
        </w:rPr>
        <w:t xml:space="preserve">https://bipartisanpolicy.org/hub/21st-century-road-to-housing-act-implementation-tracker/</w:t>
      </w:r>
    </w:p>
    <w:p>
      <w:pPr>
        <w:pStyle w:val="ListParagraph"/>
        <w:keepNext w:val="false"/>
        <w:numPr>
          <w:ilvl w:val="0"/>
          <w:numId w:val="2"/>
        </w:numPr>
        <w:spacing w:after="40" w:line="288"/>
      </w:pPr>
      <w:r>
        <w:rPr>
          <w:rFonts w:ascii="Arial" w:cs="Arial" w:eastAsia="Arial" w:hAnsi="Arial"/>
          <w:color w:val="1A1A2E"/>
          <w:sz w:val="22"/>
          <w:szCs w:val="22"/>
        </w:rPr>
        <w:t xml:space="preserve">NLIHC — 21st Century ROAD to Housing Act: Impacts on Low-Income Households (July 2026) (National Low Income Housing Coalition) — </w:t>
      </w:r>
      <w:r>
        <w:rPr>
          <w:rFonts w:ascii="Arial" w:cs="Arial" w:eastAsia="Arial" w:hAnsi="Arial"/>
          <w:color w:val="0A66C2"/>
          <w:sz w:val="16"/>
          <w:szCs w:val="16"/>
        </w:rPr>
        <w:t xml:space="preserve">https://nlihc.org/sites/default/files/ROAD_Impacts_071026.pdf</w:t>
      </w:r>
    </w:p>
    <w:p>
      <w:pPr>
        <w:pStyle w:val="ListParagraph"/>
        <w:keepNext w:val="false"/>
        <w:numPr>
          <w:ilvl w:val="0"/>
          <w:numId w:val="2"/>
        </w:numPr>
        <w:spacing w:after="40" w:line="288"/>
      </w:pPr>
      <w:r>
        <w:rPr>
          <w:rFonts w:ascii="Arial" w:cs="Arial" w:eastAsia="Arial" w:hAnsi="Arial"/>
          <w:color w:val="1A1A2E"/>
          <w:sz w:val="22"/>
          <w:szCs w:val="22"/>
        </w:rPr>
        <w:t xml:space="preserve">NAHRO — In a Major Win for Housers, the 21st Century ROAD to Housing Act Becomes Law (NAHRO) — </w:t>
      </w:r>
      <w:r>
        <w:rPr>
          <w:rFonts w:ascii="Arial" w:cs="Arial" w:eastAsia="Arial" w:hAnsi="Arial"/>
          <w:color w:val="0A66C2"/>
          <w:sz w:val="16"/>
          <w:szCs w:val="16"/>
        </w:rPr>
        <w:t xml:space="preserve">https://www.nahro.org/news/in-a-major-win-for-housers-the-21st-century-road-to-housing-act-becomes-law/</w:t>
      </w:r>
    </w:p>
    <w:p>
      <w:pPr>
        <w:pStyle w:val="ListParagraph"/>
        <w:keepNext w:val="false"/>
        <w:numPr>
          <w:ilvl w:val="0"/>
          <w:numId w:val="2"/>
        </w:numPr>
        <w:spacing w:after="40" w:line="288"/>
      </w:pPr>
      <w:r>
        <w:rPr>
          <w:rFonts w:ascii="Arial" w:cs="Arial" w:eastAsia="Arial" w:hAnsi="Arial"/>
          <w:color w:val="1A1A2E"/>
          <w:sz w:val="22"/>
          <w:szCs w:val="22"/>
        </w:rPr>
        <w:t xml:space="preserve">Fact sheet — oversight and accountability (Senate Banking Committee) — </w:t>
      </w:r>
      <w:r>
        <w:rPr>
          <w:rFonts w:ascii="Arial" w:cs="Arial" w:eastAsia="Arial" w:hAnsi="Arial"/>
          <w:color w:val="0A66C2"/>
          <w:sz w:val="16"/>
          <w:szCs w:val="16"/>
        </w:rPr>
        <w:t xml:space="preserve">https://www.banking.senate.gov/imo/media/doc/road_oversight.pdf</w:t>
      </w:r>
    </w:p>
    <w:p>
      <w:pPr>
        <w:pStyle w:val="ListParagraph"/>
        <w:keepNext w:val="false"/>
        <w:numPr>
          <w:ilvl w:val="0"/>
          <w:numId w:val="2"/>
        </w:numPr>
        <w:spacing w:after="40" w:line="288"/>
      </w:pPr>
      <w:r>
        <w:rPr>
          <w:rFonts w:ascii="Arial" w:cs="Arial" w:eastAsia="Arial" w:hAnsi="Arial"/>
          <w:color w:val="1A1A2E"/>
          <w:sz w:val="22"/>
          <w:szCs w:val="22"/>
        </w:rPr>
        <w:t xml:space="preserve">Fact sheet — families, veterans, rural communities (Senate Banking Committee) — </w:t>
      </w:r>
      <w:r>
        <w:rPr>
          <w:rFonts w:ascii="Arial" w:cs="Arial" w:eastAsia="Arial" w:hAnsi="Arial"/>
          <w:color w:val="0A66C2"/>
          <w:sz w:val="16"/>
          <w:szCs w:val="16"/>
        </w:rPr>
        <w:t xml:space="preserve">https://www.banking.senate.gov/imo/media/doc/road_families_vets_rural.pdf</w:t>
      </w:r>
    </w:p>
    <w:p>
      <w:pPr>
        <w:pStyle w:val="ListParagraph"/>
        <w:keepNext w:val="false"/>
        <w:numPr>
          <w:ilvl w:val="0"/>
          <w:numId w:val="2"/>
        </w:numPr>
        <w:spacing w:after="40" w:line="288"/>
      </w:pPr>
      <w:r>
        <w:rPr>
          <w:rFonts w:ascii="Arial" w:cs="Arial" w:eastAsia="Arial" w:hAnsi="Arial"/>
          <w:color w:val="1A1A2E"/>
          <w:sz w:val="22"/>
          <w:szCs w:val="22"/>
        </w:rPr>
        <w:t xml:space="preserve">Notice PIH 2026-18 — NSPIRE administrative procedures for voucher programs (HUD Office of Public and Indian Housing) — </w:t>
      </w:r>
      <w:r>
        <w:rPr>
          <w:rFonts w:ascii="Arial" w:cs="Arial" w:eastAsia="Arial" w:hAnsi="Arial"/>
          <w:color w:val="0A66C2"/>
          <w:sz w:val="16"/>
          <w:szCs w:val="16"/>
        </w:rPr>
        <w:t xml:space="preserve">https://www.hud.gov/sites/default/files/PIH/documents/PIH-2026-18.pdf</w:t>
      </w:r>
    </w:p>
    <w:p>
      <w:pPr>
        <w:pStyle w:val="ListParagraph"/>
        <w:keepNext w:val="false"/>
        <w:numPr>
          <w:ilvl w:val="0"/>
          <w:numId w:val="2"/>
        </w:numPr>
        <w:spacing w:after="40" w:line="288"/>
      </w:pPr>
      <w:r>
        <w:rPr>
          <w:rFonts w:ascii="Arial" w:cs="Arial" w:eastAsia="Arial" w:hAnsi="Arial"/>
          <w:color w:val="1A1A2E"/>
          <w:sz w:val="22"/>
          <w:szCs w:val="22"/>
        </w:rPr>
        <w:t xml:space="preserve">BPC — FY2027 HUD appropriations tracker (Bipartisan Policy Center) — </w:t>
      </w:r>
      <w:r>
        <w:rPr>
          <w:rFonts w:ascii="Arial" w:cs="Arial" w:eastAsia="Arial" w:hAnsi="Arial"/>
          <w:color w:val="0A66C2"/>
          <w:sz w:val="16"/>
          <w:szCs w:val="16"/>
        </w:rPr>
        <w:t xml:space="preserve">https://bipartisanpolicy.org/explainer/fy2027-hud-appropriations-tracker/</w:t>
      </w:r>
    </w:p>
    <w:p>
      <w:pPr>
        <w:pStyle w:val="ListParagraph"/>
        <w:keepNext w:val="false"/>
        <w:numPr>
          <w:ilvl w:val="0"/>
          <w:numId w:val="2"/>
        </w:numPr>
        <w:spacing w:after="40" w:line="288"/>
      </w:pPr>
      <w:r>
        <w:rPr>
          <w:rFonts w:ascii="Arial" w:cs="Arial" w:eastAsia="Arial" w:hAnsi="Arial"/>
          <w:color w:val="1A1A2E"/>
          <w:sz w:val="22"/>
          <w:szCs w:val="22"/>
        </w:rPr>
        <w:t xml:space="preserve">NLIHC — Explainer: 21st Century ROAD to Housing Act (National Low Income Housing Coalition) — </w:t>
      </w:r>
      <w:r>
        <w:rPr>
          <w:rFonts w:ascii="Arial" w:cs="Arial" w:eastAsia="Arial" w:hAnsi="Arial"/>
          <w:color w:val="0A66C2"/>
          <w:sz w:val="16"/>
          <w:szCs w:val="16"/>
        </w:rPr>
        <w:t xml:space="preserve">https://nlihc.org/sites/default/files/21ST_Century_ROAD_Explainer.pdf</w:t>
      </w:r>
    </w:p>
    <w:p>
      <w:pPr>
        <w:pStyle w:val="ListParagraph"/>
        <w:keepNext/>
        <w:numPr>
          <w:ilvl w:val="0"/>
          <w:numId w:val="2"/>
        </w:numPr>
        <w:spacing w:after="40" w:line="288"/>
      </w:pPr>
      <w:r>
        <w:rPr>
          <w:rFonts w:ascii="Arial" w:cs="Arial" w:eastAsia="Arial" w:hAnsi="Arial"/>
          <w:color w:val="1A1A2E"/>
          <w:sz w:val="22"/>
          <w:szCs w:val="22"/>
        </w:rPr>
        <w:t xml:space="preserve">NAHRO — 21st Century ROAD Act becomes law as Congress nears August recess (NAHRO) — </w:t>
      </w:r>
      <w:r>
        <w:rPr>
          <w:rFonts w:ascii="Arial" w:cs="Arial" w:eastAsia="Arial" w:hAnsi="Arial"/>
          <w:color w:val="0A66C2"/>
          <w:sz w:val="16"/>
          <w:szCs w:val="16"/>
        </w:rPr>
        <w:t xml:space="preserve">https://www.nahro.org/news/21st-century-road-act-becomes-law-as-congress-nears-august-recess/</w:t>
      </w:r>
    </w:p>
    <w:p>
      <w:pPr>
        <w:pStyle w:val="ListParagraph"/>
        <w:keepNext/>
        <w:numPr>
          <w:ilvl w:val="0"/>
          <w:numId w:val="2"/>
        </w:numPr>
        <w:spacing w:after="40" w:line="288"/>
      </w:pPr>
      <w:r>
        <w:rPr>
          <w:rFonts w:ascii="Arial" w:cs="Arial" w:eastAsia="Arial" w:hAnsi="Arial"/>
          <w:color w:val="1A1A2E"/>
          <w:sz w:val="22"/>
          <w:szCs w:val="22"/>
        </w:rPr>
        <w:t xml:space="preserve">CLPHA — Updated 21st Century ROAD to Housing Act passes Congress (Council of Large Public Housing Authorities) — </w:t>
      </w:r>
      <w:r>
        <w:rPr>
          <w:rFonts w:ascii="Arial" w:cs="Arial" w:eastAsia="Arial" w:hAnsi="Arial"/>
          <w:color w:val="0A66C2"/>
          <w:sz w:val="16"/>
          <w:szCs w:val="16"/>
        </w:rPr>
        <w:t xml:space="preserve">https://clpha.org/news/2026/updated-21st-century-road-housing-act-passes-congress</w:t>
      </w:r>
    </w:p>
    <w:p>
      <w:pPr>
        <w:keepNext/>
        <w:pBdr>
          <w:top w:val="single" w:color="DDE3EA" w:sz="4" w:space="8"/>
        </w:pBdr>
        <w:spacing w:after="80" w:before="140" w:line="336"/>
      </w:pPr>
      <w:r>
        <w:rPr>
          <w:rFonts w:ascii="Arial" w:cs="Arial" w:eastAsia="Arial" w:hAnsi="Arial"/>
          <w:b/>
          <w:bCs/>
          <w:i/>
          <w:iCs/>
          <w:color w:val="154360"/>
          <w:sz w:val="22"/>
          <w:szCs w:val="22"/>
        </w:rPr>
        <w:t xml:space="preserve">Make it yours: </w:t>
      </w:r>
      <w:r>
        <w:rPr>
          <w:rFonts w:ascii="Arial" w:cs="Arial" w:eastAsia="Arial" w:hAnsi="Arial"/>
          <w:i/>
          <w:iCs/>
          <w:color w:val="1A1A2E"/>
          <w:sz w:val="22"/>
          <w:szCs w:val="22"/>
        </w:rPr>
        <w:t xml:space="preserve">replace the bracketed placeholders, trim rows that don’t apply, and add your local numbers.</w:t>
      </w:r>
    </w:p>
    <w:p>
      <w:pPr>
        <w:keepNext/>
        <w:spacing w:after="60" w:line="252"/>
      </w:pPr>
      <w:r>
        <w:rPr>
          <w:rFonts w:ascii="Arial" w:cs="Arial" w:eastAsia="Arial" w:hAnsi="Arial"/>
          <w:color w:val="4B5563"/>
          <w:sz w:val="17"/>
          <w:szCs w:val="17"/>
        </w:rPr>
        <w:t xml:space="preserve">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w:t>
      </w:r>
    </w:p>
    <w:p>
      <w:pPr>
        <w:keepNext/>
        <w:spacing w:after="60" w:line="252"/>
      </w:pPr>
      <w:r>
        <w:rPr>
          <w:rFonts w:ascii="Arial" w:cs="Arial" w:eastAsia="Arial" w:hAnsi="Arial"/>
          <w:color w:val="4B5563"/>
          <w:sz w:val="17"/>
          <w:szCs w:val="17"/>
        </w:rPr>
        <w:t xml:space="preserve">Prepared from aihousers.com/road-to-housing · content reviewed August 29, 2026</w:t>
      </w:r>
    </w:p>
    <w:p>
      <w:pPr>
        <w:spacing w:after="0" w:line="252"/>
      </w:pPr>
      <w:r>
        <w:rPr>
          <w:rFonts w:ascii="Arial" w:cs="Arial" w:eastAsia="Arial" w:hAnsi="Arial"/>
          <w:color w:val="4B5563"/>
          <w:sz w:val="17"/>
          <w:szCs w:val="17"/>
        </w:rPr>
        <w:t xml:space="preserve">Reuse freely, including with your own logo, with attribution to AI Housers — aihousers.com/road-to-housing (CC BY 4.0). </w:t>
      </w:r>
      <w:r>
        <w:rPr>
          <w:rFonts w:ascii="Arial" w:cs="Arial" w:eastAsia="Arial" w:hAnsi="Arial"/>
          <w:color w:val="0A66C2"/>
          <w:sz w:val="17"/>
          <w:szCs w:val="17"/>
        </w:rPr>
        <w:t xml:space="preserve">https://creativecommons.org/licenses/by/4.0/</w:t>
      </w:r>
    </w:p>
    <w:sectPr>
      <w:headerReference w:type="default" r:id="rId7"/>
      <w:footerReference w:type="default" r:id="rId8"/>
      <w:pgSz w:w="12240" w:h="15840" w:orient="portrait"/>
      <w:pgMar w:top="1080" w:right="1080" w:bottom="1080" w:left="1080" w:header="500" w:footer="50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A" w:sz="4" w:space="6"/>
      </w:pBdr>
      <w:tabs>
        <w:tab w:val="right" w:pos="10080"/>
      </w:tabs>
      <w:spacing w:after="0" w:line="240"/>
    </w:pPr>
    <w:r>
      <w:rPr>
        <w:rFonts w:ascii="Arial" w:cs="Arial" w:eastAsia="Arial" w:hAnsi="Arial"/>
        <w:color w:val="4B5563"/>
        <w:sz w:val="14"/>
        <w:szCs w:val="14"/>
      </w:rPr>
      <w:t xml:space="preserve">Houser Technologies LLC d/b/a AI Housers · aihousers.com · Not legal, compliance, or financial advice.</w:t>
    </w:r>
    <w:r>
      <w:rPr>
        <w:rFonts w:ascii="Arial" w:cs="Arial" w:eastAsia="Arial" w:hAnsi="Arial"/>
        <w:color w:val="4B5563"/>
        <w:sz w:val="14"/>
        <w:szCs w:val="14"/>
      </w:rPr>
      <w:t xml:space="preserve">	Page </w:t>
    </w:r>
    <w:r>
      <w:rPr>
        <w:rFonts w:ascii="Arial" w:cs="Arial" w:eastAsia="Arial" w:hAnsi="Arial"/>
        <w:color w:val="4B5563"/>
        <w:sz w:val="14"/>
        <w:szCs w:val="14"/>
      </w:rPr>
      <w:fldChar w:fldCharType="begin"/>
      <w:instrText xml:space="preserve">PAGE</w:instrText>
      <w:fldChar w:fldCharType="separate"/>
      <w:fldChar w:fldCharType="end"/>
    </w:r>
    <w:r>
      <w:rPr>
        <w:rFonts w:ascii="Arial" w:cs="Arial" w:eastAsia="Arial" w:hAnsi="Arial"/>
        <w:color w:val="4B5563"/>
        <w:sz w:val="14"/>
        <w:szCs w:val="14"/>
      </w:rPr>
      <w:t xml:space="preserve"> of </w:t>
    </w:r>
    <w:r>
      <w:rPr>
        <w:rFonts w:ascii="Arial" w:cs="Arial" w:eastAsia="Arial" w:hAnsi="Arial"/>
        <w:color w:val="4B5563"/>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Arial" w:cs="Arial" w:eastAsia="Arial" w:hAnsi="Arial"/>
        <w:color w:val="4B5563"/>
        <w:sz w:val="15"/>
        <w:szCs w:val="15"/>
      </w:rPr>
      <w:t xml:space="preserve">21st Century ROAD to Housing Act · Public Housing Authorities · Leadership memo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color w:val="1B4F7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Arial" w:cs="Arial" w:eastAsia="Arial" w:hAnsi="Arial"/>
      <w:b/>
      <w:bCs/>
      <w:color w:val="154360"/>
      <w:sz w:val="26"/>
      <w:szCs w:val="26"/>
    </w:rPr>
  </w:style>
  <w:style w:type="paragraph" w:styleId="Heading2">
    <w:name w:val="Heading 2"/>
    <w:basedOn w:val="Normal"/>
    <w:next w:val="Normal"/>
    <w:qFormat/>
    <w:rPr>
      <w:rFonts w:ascii="Arial" w:cs="Arial" w:eastAsia="Arial" w:hAnsi="Arial"/>
      <w:b/>
      <w:bCs/>
      <w:color w:val="1B4F7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d29c19467000777720b1133f971811d85354e9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Century ROAD to Housing Act — leadership memo (Public Housing Authorities)</dc:title>
  <dc:creator>AI Housers</dc:creator>
  <dc:description>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dc:description>
  <cp:lastModifiedBy>Un-named</cp:lastModifiedBy>
  <cp:revision>1</cp:revision>
  <dcterms:created xsi:type="dcterms:W3CDTF">2026-08-30T00:37:05.965Z</dcterms:created>
  <dcterms:modified xsi:type="dcterms:W3CDTF">2026-08-30T00:37:05.965Z</dcterms:modified>
</cp:coreProperties>
</file>

<file path=docProps/custom.xml><?xml version="1.0" encoding="utf-8"?>
<Properties xmlns="http://schemas.openxmlformats.org/officeDocument/2006/custom-properties" xmlns:vt="http://schemas.openxmlformats.org/officeDocument/2006/docPropsVTypes"/>
</file>