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(Cities, Counties &amp; Regional Planners)</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CDBG grantees owe a searchable database of undeveloped public land by October 1, 2026, and entitlement cities and counties should have HUD’s Build Now growth-rate letter around September 9, 2026 — the rest is opportunity, not mandate.</w:t>
      </w:r>
    </w:p>
    <w:p>
      <w:pPr>
        <w:spacing w:after="120" w:line="336"/>
      </w:pPr>
      <w:r>
        <w:rPr>
          <w:rFonts w:ascii="Arial" w:cs="Arial" w:eastAsia="Arial" w:hAnsi="Arial"/>
          <w:color w:val="1A1A2E"/>
          <w:sz w:val="22"/>
          <w:szCs w:val="22"/>
        </w:rPr>
        <w:t xml:space="preserve">The National League of Cities summed it up: the Act imposes no zoning preemption and no unfunded mandates, but it does reshape CDBG.  Section 104 requires every CDBG grantee to certify it maintains a public, searchable database of all undeveloped land it owns (effective October 1, 2026; the cost is CDBG-eligible).</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cities, counties &amp; regional planners,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Federal Guidelines for Point-Access Block Buildings</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Directs HUD to publish model code language, best practices, and technical guidance that states, territories, Tribes, and localities can use to permit single-stair ("point-access block") apartment buildings of up to six stories.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Exemption on Construction or Modification of Residential Housing Located on an Infill Site</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Relieves USDA of any environmental study or report when it assists construction or modification of housing on an "infill site" under its main rural housing programs (Sections 501, 502, 504, 515, 533, and 538 of the Housing Act of 1949).</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104</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Database of Publicly Owned Land</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Adds a new CDBG grantee certification: the grantee maintains a publicly accessible, searchable online database identifying every parcel of undeveloped land it owns.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107</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Supply Frameworks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Directs HUD’s Assistant Secretary for Policy Development and Research to publish guidelines and best practices for state and local zoning frameworks — parking minimums, floor-area and height limits, ADUs, by-right duplexes through quadplexes, ministerial review, transit-oriented development, impact fees, a model sta…</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204</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Addition of Affordable Housing Construction as an Eligible Activity</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For the first time, makes new construction of affordable housing (as defined in HOME Section 215) an eligible CDBG activity, capped at 20 percent of a recipient’s allocation, and counts it toward the low- and moderate-income benefit requirement.</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205</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Better Use of Intergovernmental and Local Development (BUILD) Housing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Lets HUD designate any assistance it administers as a "special project" for environmental review, which allows states, localities, and — newly — federally recognized Indian Tribes to assume HUD’s NEPA responsibilities.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206</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Unlocking Housing Supply Through Streamlined and Modernized Reviews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Directs HUD to rewrite its environmental review regulations (24 CFR parts 50 and 58) through notice-and-comment rulemaking so that a long list of housing activities are exempt or categorically excluded from NEPA review.</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207</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Grants for Planning and Implementation Associated with Affordable Housing</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Creates a competitive HUD grant program — to be established within one year — for states, insular areas, metropolitan cities, urban counties, and regional planning agencies to develop and implement housing plans, update zoning codes, build inspection capacity, and coordinate with transportation.</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208</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Innovation Fund</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$200 million a year for FY2027–FY2031 for competitive HUD grants to metropolitan cities, urban counties, other local governments, and Tribes that can show an "objective improvement in housing supply growth" under a HUD methodology published for comment at least 90 days before each NOFO.</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209</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Accelerating Home Building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HUD grants to local governments, municipal membership organizations, and Tribes to select pre-reviewed designs — "pattern books" — for small mixed-income housing types of up to 25 units (ADUs, duplexes through fourplexes, cottage courts, townhouses, multiplexes) so builders can get faster, more predictabl…</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210</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Revitalizing Empty Structures Into Desirable Environments (RESIDE)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Adds a new Section 227 to the HOME statute authorizing a FY2027–FY2031 pilot of competitive grants to HOME participating jurisdictions to convert vacant and abandoned commercial and industrial buildings — warehouses, factories, malls, hotels — into "attainable housing." Grants of $1 million to $10 million apply in a…</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Build Now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Ties a slice of CDBG entitlement money to housing production.  Starting with the third full fiscal year after enactment and running through FY2043, HUD computes each metropolitan city’s and urban county’s "housing growth improvement rate" — a normalized index: the last five years’ average annual unit growth minus the prior five years’, divided by the sum…</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Sep 9,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Notify every eligible CDBG recipient of its "housing growth improvement rate" and whether it is above, at, or below the median, and share best-practice guidance on reducing regulatory barriers (Build Now Act). (Sec. 213)</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1, 2026</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New CDBG certification takes effect: each grantee must maintain a publicly accessible, searchable database of all undeveloped land it owns. (Sec. 104)</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Complete a review of how Build America, Buy America (BABA) applies to HOME-assisted activities; issue updated guidance within 90 days after the review; report to Congress by the 270-day mark (§501(m)). (Sec. 501)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After consulting FEMA, SBA, and other agencies, publish proposed rules to carry out the new HCDA §124 CDBG-DR authorization (a 3-year program that sunsets July 11, 2029) with a 90-day public comment period; final rules follow at the one-year mark. (Sec. 504)</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Establish a competitive grant program for planning and implementation activities associated with affordable housing (not construction). (Sec. 207)</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Establish the Innovation Fund: competitive grants to eligible entities that have increased local housing supply, with a public list of eligible entities. (Sec. 208)</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States submit an initial certification that their laws treat manufactured homes without a permanent chassis in parity with chassis-built homes (financing, title, insurance, manufacture, sale, taxes, transportation, installation); HUD publishes and maintains a Federal Register and website list of states that are curr… (Sec. 301)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Issue two HOME rules: one carrying out the new infrastructure eligibility (§501(e)) and one on environmental review coordination and recognition of prior reviews for infill projects (§501(l)). (Sec. 501)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Issue final regulations for the 3-year CDBG-DR program (HCDA §124). (Sec. 504)</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2028</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Issue guidelines with model code language, best practices, and technical guidance to help states, territories, Tribes, and localities permit point-access block (single-stair) residential buildings. (Sec. 102)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Stand up a public, searchable database of all undeveloped land your jurisdiction owns before October 1, 2026, and charge creation and maintenance to CDBG.</w:t>
      </w:r>
      <w:r>
        <w:rPr>
          <w:rFonts w:ascii="Arial" w:cs="Arial" w:eastAsia="Arial" w:hAnsi="Arial"/>
          <w:color w:val="4B5563"/>
          <w:sz w:val="18"/>
          <w:szCs w:val="18"/>
        </w:rPr>
        <w:t xml:space="preserve">  (Sec. 104)</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Entitlement cities and urban counties: look for HUD’s Build Now notification of your housing-growth improvement rate (due about September 9, 2026), check whether an exemption applies (low-cost market, rental vacancy above the national rate, Stafford Act declaration in the prior three years, no zoning authority), and model a 10% CDBG reduction or bonus starting the third full fiscal year after enactment.</w:t>
      </w:r>
      <w:r>
        <w:rPr>
          <w:rFonts w:ascii="Arial" w:cs="Arial" w:eastAsia="Arial" w:hAnsi="Arial"/>
          <w:color w:val="4B5563"/>
          <w:sz w:val="18"/>
          <w:szCs w:val="18"/>
        </w:rPr>
        <w:t xml:space="preserve">  (Sec. 213)</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Comment on HUD’s CDBG-DR formula notice by September 14, 2026 and follow the Section 504 rulemaking (proposed rule due about January 11, 2027; final by July 11, 2027) if you have or expect disaster-recovery grants.</w:t>
      </w:r>
      <w:r>
        <w:rPr>
          <w:rFonts w:ascii="Arial" w:cs="Arial" w:eastAsia="Arial" w:hAnsi="Arial"/>
          <w:color w:val="4B5563"/>
          <w:sz w:val="18"/>
          <w:szCs w:val="18"/>
        </w:rPr>
        <w:t xml:space="preserve">  (Sec. 504)</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By end of 2026</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ESG recipients: if local need justifies spending more than the 60% cap on emergency shelter and street outreach for FY2027–2030 funds, prepare a waiver request with a spending plan, public input, and notice to subrecipients and the Continuum of Care.</w:t>
      </w:r>
      <w:r>
        <w:rPr>
          <w:rFonts w:ascii="Arial" w:cs="Arial" w:eastAsia="Arial" w:hAnsi="Arial"/>
          <w:color w:val="4B5563"/>
          <w:sz w:val="18"/>
          <w:szCs w:val="18"/>
        </w:rPr>
        <w:t xml:space="preserve">  (Sec. 503)</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In 2027</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Compile three years of housing-supply data and a list of adopted reforms (by-right plexes, parking repeal, ADUs, permitting speed, code changes) to be ready for the Innovation Fund NOFO; HUD must publish its eligibility methodology in the Federal Register at least 90 days before the NOFO.</w:t>
      </w:r>
      <w:r>
        <w:rPr>
          <w:rFonts w:ascii="Arial" w:cs="Arial" w:eastAsia="Arial" w:hAnsi="Arial"/>
          <w:color w:val="4B5563"/>
          <w:sz w:val="18"/>
          <w:szCs w:val="18"/>
        </w:rPr>
        <w:t xml:space="preserve">  (Sec. 208)</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Regional planning agencies, MPOs, states, metro cities and urban counties: scope a housing plan, zoning update, or inspection-capacity project for the Section 207 planning and implementation grants (no construction; 10% admin cap; HUD coordinates with FTA).</w:t>
      </w:r>
      <w:r>
        <w:rPr>
          <w:rFonts w:ascii="Arial" w:cs="Arial" w:eastAsia="Arial" w:hAnsi="Arial"/>
          <w:color w:val="4B5563"/>
          <w:sz w:val="18"/>
          <w:szCs w:val="18"/>
        </w:rPr>
        <w:t xml:space="preserve">  (Sec. 207)</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Decide whether to use CDBG for new construction of affordable housing (up to 20% of your allocation, post-enactment funds only) and how it fits with HOME.</w:t>
      </w:r>
      <w:r>
        <w:rPr>
          <w:rFonts w:ascii="Arial" w:cs="Arial" w:eastAsia="Arial" w:hAnsi="Arial"/>
          <w:color w:val="4B5563"/>
          <w:sz w:val="18"/>
          <w:szCs w:val="18"/>
        </w:rPr>
        <w:t xml:space="preserve">  (Sec. 204)</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HOME participating jurisdictions: adopt ordinances that reduce barriers to converting vacant commercial and industrial buildings to housing — that is a stated priority factor for RESIDE grants (FY2027–2031).</w:t>
      </w:r>
      <w:r>
        <w:rPr>
          <w:rFonts w:ascii="Arial" w:cs="Arial" w:eastAsia="Arial" w:hAnsi="Arial"/>
          <w:color w:val="4B5563"/>
          <w:sz w:val="18"/>
          <w:szCs w:val="18"/>
        </w:rPr>
        <w:t xml:space="preserve">  (Sec. 210)</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Watch</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Consider a pattern-book application (Section 209) for pre-reviewed designs of buildings up to 25 units (ADUs, plexes, cottage courts, townhouses); note the 10% rural set-aside and that designs must be adopted within five years or funds repaid.</w:t>
      </w:r>
      <w:r>
        <w:rPr>
          <w:rFonts w:ascii="Arial" w:cs="Arial" w:eastAsia="Arial" w:hAnsi="Arial"/>
          <w:color w:val="4B5563"/>
          <w:sz w:val="18"/>
          <w:szCs w:val="18"/>
        </w:rPr>
        <w:t xml:space="preserve">  (Sec. 209)</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Responsible entities under 24 CFR Part 58: prepare for expanded exemptions and categorical exclusions (Section 206 rule; Section 501 statutory HOME exemptions) and possible assumption of formerly HUD-performed reviews under Section 205; keep pre- and post-enactment funds separate.</w:t>
      </w:r>
      <w:r>
        <w:rPr>
          <w:rFonts w:ascii="Arial" w:cs="Arial" w:eastAsia="Arial" w:hAnsi="Arial"/>
          <w:color w:val="4B5563"/>
          <w:sz w:val="18"/>
          <w:szCs w:val="18"/>
        </w:rPr>
        <w:t xml:space="preserve">  (Sec. 205, 206, 501)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Engage in the Section 107 zoning-frameworks task force and Federal Register comment (drafts within two years) and use the Section 102 single-stair model code guidance when it arrives (by about January 11, 2028).</w:t>
      </w:r>
      <w:r>
        <w:rPr>
          <w:rFonts w:ascii="Arial" w:cs="Arial" w:eastAsia="Arial" w:hAnsi="Arial"/>
          <w:color w:val="4B5563"/>
          <w:sz w:val="18"/>
          <w:szCs w:val="18"/>
        </w:rPr>
        <w:t xml:space="preserve">  (Sec. 107, 102)</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Funding is the catch: the House FY2027 THUD bill kept CDBG flat at $3.3 billion, cut HOME to $500 million, and had no line for the Innovation Fund, planning grants, pattern books, RESIDE, or single-stair pilots; the Senate bill had not been released as of late August 2026.</w:t>
      </w:r>
    </w:p>
    <w:p>
      <w:pPr>
        <w:pStyle w:val="ListParagraph"/>
        <w:numPr>
          <w:ilvl w:val="0"/>
          <w:numId w:val="2"/>
        </w:numPr>
        <w:spacing w:after="60" w:line="336"/>
      </w:pPr>
      <w:r>
        <w:rPr>
          <w:rFonts w:ascii="Arial" w:cs="Arial" w:eastAsia="Arial" w:hAnsi="Arial"/>
          <w:color w:val="1A1A2E"/>
          <w:sz w:val="22"/>
          <w:szCs w:val="22"/>
        </w:rPr>
        <w:t xml:space="preserve">Build Now start year: §213(e)(2) says the adjustments "shall take effect beginning with the third full fiscal year after the date of enactment." Counting from a July 11, 2026 enactment (FY2026), that is FY2029, which begins October 1, 2028 — the reading this hub uses. Some summaries say FY2030, and no HUD document has taken a position, so treat the year as unsettled until HUD publishes its reading.</w:t>
      </w:r>
    </w:p>
    <w:p>
      <w:pPr>
        <w:pStyle w:val="ListParagraph"/>
        <w:numPr>
          <w:ilvl w:val="0"/>
          <w:numId w:val="2"/>
        </w:numPr>
        <w:spacing w:after="60" w:line="336"/>
      </w:pPr>
      <w:r>
        <w:rPr>
          <w:rFonts w:ascii="Arial" w:cs="Arial" w:eastAsia="Arial" w:hAnsi="Arial"/>
          <w:color w:val="1A1A2E"/>
          <w:sz w:val="22"/>
          <w:szCs w:val="22"/>
        </w:rPr>
        <w:t xml:space="preserve">The House-passed requirement to report on 22 categories of land-use policy was dropped; the only land-use mandate left is the public-land database.</w:t>
      </w:r>
    </w:p>
    <w:p>
      <w:pPr>
        <w:pStyle w:val="ListParagraph"/>
        <w:numPr>
          <w:ilvl w:val="0"/>
          <w:numId w:val="2"/>
        </w:numPr>
        <w:spacing w:after="60" w:line="336"/>
      </w:pPr>
      <w:r>
        <w:rPr>
          <w:rFonts w:ascii="Arial" w:cs="Arial" w:eastAsia="Arial" w:hAnsi="Arial"/>
          <w:color w:val="1A1A2E"/>
          <w:sz w:val="22"/>
          <w:szCs w:val="22"/>
        </w:rPr>
        <w:t xml:space="preserve">Build Now applies to entitlement grantees only — states and non-entitlement communities are not covered — and NACo estimates most entitlement counties would likely be exempt.</w:t>
      </w:r>
    </w:p>
    <w:p>
      <w:pPr>
        <w:pStyle w:val="ListParagraph"/>
        <w:numPr>
          <w:ilvl w:val="0"/>
          <w:numId w:val="2"/>
        </w:numPr>
        <w:spacing w:after="60" w:line="336"/>
      </w:pPr>
      <w:r>
        <w:rPr>
          <w:rFonts w:ascii="Arial" w:cs="Arial" w:eastAsia="Arial" w:hAnsi="Arial"/>
          <w:color w:val="1A1A2E"/>
          <w:sz w:val="22"/>
          <w:szCs w:val="22"/>
        </w:rPr>
        <w:t xml:space="preserve">HUD staffing: Urban Institute counts at least 35 new HUD duties with no added money for staffing after a 24% FY2026 cut, so expect slow NOFOs and rules.</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Whether §104(c)’s October 1, 2026 effective date governs anything.</w:t>
      </w:r>
    </w:p>
    <w:p>
      <w:pPr>
        <w:pStyle w:val="ListParagraph"/>
        <w:numPr>
          <w:ilvl w:val="0"/>
          <w:numId w:val="2"/>
        </w:numPr>
        <w:spacing w:after="60" w:line="336"/>
      </w:pPr>
      <w:r>
        <w:rPr>
          <w:rFonts w:ascii="Arial" w:cs="Arial" w:eastAsia="Arial" w:hAnsi="Arial"/>
          <w:color w:val="1A1A2E"/>
          <w:sz w:val="22"/>
          <w:szCs w:val="22"/>
        </w:rPr>
        <w:t xml:space="preserve">How HUD will define "undeveloped land" and monitor the §104 public-land database certification effective October 1, 2026, and whether state CDBG grantees are covered.</w:t>
      </w:r>
    </w:p>
    <w:p>
      <w:pPr>
        <w:pStyle w:val="ListParagraph"/>
        <w:numPr>
          <w:ilvl w:val="0"/>
          <w:numId w:val="2"/>
        </w:numPr>
        <w:spacing w:after="60" w:line="336"/>
      </w:pPr>
      <w:r>
        <w:rPr>
          <w:rFonts w:ascii="Arial" w:cs="Arial" w:eastAsia="Arial" w:hAnsi="Arial"/>
          <w:color w:val="1A1A2E"/>
          <w:sz w:val="22"/>
          <w:szCs w:val="22"/>
        </w:rPr>
        <w:t xml:space="preserve">Whether CR-provided FY2027 budget authority counts as "appropriated after the date of enactment" for §204 (CDBG new construction) and §304 (PRICE).</w:t>
      </w:r>
    </w:p>
    <w:p>
      <w:pPr>
        <w:pStyle w:val="ListParagraph"/>
        <w:numPr>
          <w:ilvl w:val="0"/>
          <w:numId w:val="2"/>
        </w:numPr>
        <w:spacing w:after="60" w:line="336"/>
      </w:pPr>
      <w:r>
        <w:rPr>
          <w:rFonts w:ascii="Arial" w:cs="Arial" w:eastAsia="Arial" w:hAnsi="Arial"/>
          <w:color w:val="1A1A2E"/>
          <w:sz w:val="22"/>
          <w:szCs w:val="22"/>
        </w:rPr>
        <w:t xml:space="preserve">Whether FY2027 appropriations will fund the Innovation Fund (§208, $200 million authorized), planning grants (§207), Whole-Home Repairs (§202), RESIDE (§210), PRICE (§304), the temperature-sensor pilot (§106), or the Long-Term Disaster Recovery Fund (§504).</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https://aihousers.com/road-to-housing/for/local-government</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BPC — What’s in the 21st Century ROAD to Housing Act? (Bipartisan Policy Center) — </w:t>
      </w:r>
      <w:r>
        <w:rPr>
          <w:rFonts w:ascii="Arial" w:cs="Arial" w:eastAsia="Arial" w:hAnsi="Arial"/>
          <w:color w:val="0A66C2"/>
          <w:sz w:val="16"/>
          <w:szCs w:val="16"/>
        </w:rPr>
        <w:t xml:space="preserve">https://bipartisanpolicy.org/explainer/whats-in-the-21st-century-road-to-housing-act/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BPC — 21st Century ROAD to Housing Act Implementation Tracker (Bipartisan Policy Center) — </w:t>
      </w:r>
      <w:r>
        <w:rPr>
          <w:rFonts w:ascii="Arial" w:cs="Arial" w:eastAsia="Arial" w:hAnsi="Arial"/>
          <w:color w:val="0A66C2"/>
          <w:sz w:val="16"/>
          <w:szCs w:val="16"/>
        </w:rPr>
        <w:t xml:space="preserve">https://bipartisanpolicy.org/hub/21st-century-road-to-housing-act-implementation-tracker/</w:t>
      </w:r>
    </w:p>
    <w:p>
      <w:pPr>
        <w:pStyle w:val="ListParagraph"/>
        <w:keepNext w:val="false"/>
        <w:numPr>
          <w:ilvl w:val="0"/>
          <w:numId w:val="2"/>
        </w:numPr>
        <w:spacing w:after="40" w:line="288"/>
      </w:pPr>
      <w:r>
        <w:rPr>
          <w:rFonts w:ascii="Arial" w:cs="Arial" w:eastAsia="Arial" w:hAnsi="Arial"/>
          <w:color w:val="1A1A2E"/>
          <w:sz w:val="22"/>
          <w:szCs w:val="22"/>
        </w:rPr>
        <w:t xml:space="preserve">Fact sheet — housing supply (Senate Banking Committee) — </w:t>
      </w:r>
      <w:r>
        <w:rPr>
          <w:rFonts w:ascii="Arial" w:cs="Arial" w:eastAsia="Arial" w:hAnsi="Arial"/>
          <w:color w:val="0A66C2"/>
          <w:sz w:val="16"/>
          <w:szCs w:val="16"/>
        </w:rPr>
        <w:t xml:space="preserve">https://www.banking.senate.gov/imo/media/doc/road_supply.pdf</w:t>
      </w:r>
    </w:p>
    <w:p>
      <w:pPr>
        <w:pStyle w:val="ListParagraph"/>
        <w:keepNext w:val="false"/>
        <w:numPr>
          <w:ilvl w:val="0"/>
          <w:numId w:val="2"/>
        </w:numPr>
        <w:spacing w:after="40" w:line="288"/>
      </w:pPr>
      <w:r>
        <w:rPr>
          <w:rFonts w:ascii="Arial" w:cs="Arial" w:eastAsia="Arial" w:hAnsi="Arial"/>
          <w:color w:val="1A1A2E"/>
          <w:sz w:val="22"/>
          <w:szCs w:val="22"/>
        </w:rPr>
        <w:t xml:space="preserve">HUD notice on the CDBG-DR allocation formula (Docket FR-6337-N-02) (HUD / Federal Register) — </w:t>
      </w:r>
      <w:r>
        <w:rPr>
          <w:rFonts w:ascii="Arial" w:cs="Arial" w:eastAsia="Arial" w:hAnsi="Arial"/>
          <w:color w:val="0A66C2"/>
          <w:sz w:val="16"/>
          <w:szCs w:val="16"/>
        </w:rPr>
        <w:t xml:space="preserve">https://www.federalregister.gov/documents/2026/08/13/2026-16499/notice-on-community-development-block-grant-disaster-recovery-cdbg-dr-formula</w:t>
      </w:r>
    </w:p>
    <w:p>
      <w:pPr>
        <w:pStyle w:val="ListParagraph"/>
        <w:keepNext w:val="false"/>
        <w:numPr>
          <w:ilvl w:val="0"/>
          <w:numId w:val="2"/>
        </w:numPr>
        <w:spacing w:after="40" w:line="288"/>
      </w:pPr>
      <w:r>
        <w:rPr>
          <w:rFonts w:ascii="Arial" w:cs="Arial" w:eastAsia="Arial" w:hAnsi="Arial"/>
          <w:color w:val="1A1A2E"/>
          <w:sz w:val="22"/>
          <w:szCs w:val="22"/>
        </w:rPr>
        <w:t xml:space="preserve">Smart Growth America — Reflecting on the 21st Century ROAD to Housing Act (Smart Growth America) — </w:t>
      </w:r>
      <w:r>
        <w:rPr>
          <w:rFonts w:ascii="Arial" w:cs="Arial" w:eastAsia="Arial" w:hAnsi="Arial"/>
          <w:color w:val="0A66C2"/>
          <w:sz w:val="16"/>
          <w:szCs w:val="16"/>
        </w:rPr>
        <w:t xml:space="preserve">https://www.smartgrowthamerica.org/knowledge-hub/news/reflecting-on-the-21st-century-road-to-housing-act/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NCSHA — Key changes to HOME in the 21st Century ROAD to Housing Act (National Council of State Housing Agencies) — </w:t>
      </w:r>
      <w:r>
        <w:rPr>
          <w:rFonts w:ascii="Arial" w:cs="Arial" w:eastAsia="Arial" w:hAnsi="Arial"/>
          <w:color w:val="0A66C2"/>
          <w:sz w:val="16"/>
          <w:szCs w:val="16"/>
        </w:rPr>
        <w:t xml:space="preserve">https://www.ncsha.org/blog/ncsha-details-key-changes-to-home-in-the-21st-century-road-to-housing-act/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227 pro-housing organizations thank Congress for the housing bill (Inclusive Abundance / Up for Growth Action) — </w:t>
      </w:r>
      <w:r>
        <w:rPr>
          <w:rFonts w:ascii="Arial" w:cs="Arial" w:eastAsia="Arial" w:hAnsi="Arial"/>
          <w:color w:val="0A66C2"/>
          <w:sz w:val="16"/>
          <w:szCs w:val="16"/>
        </w:rPr>
        <w:t xml:space="preserve">https://www.inclusiveabundance.org/abundance-in-action/227-pro-housing-organizations-thank-congress-for-the-housing-bill</w:t>
      </w:r>
    </w:p>
    <w:p>
      <w:pPr>
        <w:pStyle w:val="ListParagraph"/>
        <w:keepNext w:val="false"/>
        <w:numPr>
          <w:ilvl w:val="0"/>
          <w:numId w:val="2"/>
        </w:numPr>
        <w:spacing w:after="40" w:line="288"/>
      </w:pPr>
      <w:r>
        <w:rPr>
          <w:rFonts w:ascii="Arial" w:cs="Arial" w:eastAsia="Arial" w:hAnsi="Arial"/>
          <w:color w:val="1A1A2E"/>
          <w:sz w:val="22"/>
          <w:szCs w:val="22"/>
        </w:rPr>
        <w:t xml:space="preserve">NAHB — Key land-use and zoning provisions in the ROAD Act (National Association of Home Builders) — </w:t>
      </w:r>
      <w:r>
        <w:rPr>
          <w:rFonts w:ascii="Arial" w:cs="Arial" w:eastAsia="Arial" w:hAnsi="Arial"/>
          <w:color w:val="0A66C2"/>
          <w:sz w:val="16"/>
          <w:szCs w:val="16"/>
        </w:rPr>
        <w:t xml:space="preserve">https://www.nahb.org/blog/2026/08/road-land-use-explanation</w:t>
      </w:r>
    </w:p>
    <w:p>
      <w:pPr>
        <w:pStyle w:val="ListParagraph"/>
        <w:keepNext w:val="false"/>
        <w:numPr>
          <w:ilvl w:val="0"/>
          <w:numId w:val="2"/>
        </w:numPr>
        <w:spacing w:after="40" w:line="288"/>
      </w:pPr>
      <w:r>
        <w:rPr>
          <w:rFonts w:ascii="Arial" w:cs="Arial" w:eastAsia="Arial" w:hAnsi="Arial"/>
          <w:color w:val="1A1A2E"/>
          <w:sz w:val="22"/>
          <w:szCs w:val="22"/>
        </w:rPr>
        <w:t xml:space="preserve">NAR — What the Act means for states, localities and housing supply (National Association of REALTORS®) — </w:t>
      </w:r>
      <w:r>
        <w:rPr>
          <w:rFonts w:ascii="Arial" w:cs="Arial" w:eastAsia="Arial" w:hAnsi="Arial"/>
          <w:color w:val="0A66C2"/>
          <w:sz w:val="16"/>
          <w:szCs w:val="16"/>
        </w:rPr>
        <w:t xml:space="preserve">https://www.nar.realtor/news/real-estate-news/what-the-21st-century-road-to-housing-act-means-for-states-localities-and-housing-supply</w:t>
      </w:r>
    </w:p>
    <w:p>
      <w:pPr>
        <w:pStyle w:val="ListParagraph"/>
        <w:keepNext/>
        <w:numPr>
          <w:ilvl w:val="0"/>
          <w:numId w:val="2"/>
        </w:numPr>
        <w:spacing w:after="40" w:line="288"/>
      </w:pPr>
      <w:r>
        <w:rPr>
          <w:rFonts w:ascii="Arial" w:cs="Arial" w:eastAsia="Arial" w:hAnsi="Arial"/>
          <w:color w:val="1A1A2E"/>
          <w:sz w:val="22"/>
          <w:szCs w:val="22"/>
        </w:rPr>
        <w:t xml:space="preserve">NLC — 21st Century ROAD to Housing Act resource hub (National League of Cities) — </w:t>
      </w:r>
      <w:r>
        <w:rPr>
          <w:rFonts w:ascii="Arial" w:cs="Arial" w:eastAsia="Arial" w:hAnsi="Arial"/>
          <w:color w:val="0A66C2"/>
          <w:sz w:val="16"/>
          <w:szCs w:val="16"/>
        </w:rPr>
        <w:t xml:space="preserve">https://www.nlc.org/resource/21st-century-road-to-housing-act/</w:t>
      </w:r>
    </w:p>
    <w:p>
      <w:pPr>
        <w:pStyle w:val="ListParagraph"/>
        <w:keepNext/>
        <w:numPr>
          <w:ilvl w:val="0"/>
          <w:numId w:val="2"/>
        </w:numPr>
        <w:spacing w:after="40" w:line="288"/>
      </w:pPr>
      <w:r>
        <w:rPr>
          <w:rFonts w:ascii="Arial" w:cs="Arial" w:eastAsia="Arial" w:hAnsi="Arial"/>
          <w:color w:val="1A1A2E"/>
          <w:sz w:val="22"/>
          <w:szCs w:val="22"/>
        </w:rPr>
        <w:t xml:space="preserve">NLC — 21st Century ROAD to Housing Act FAQs (National League of Cities) — </w:t>
      </w:r>
      <w:r>
        <w:rPr>
          <w:rFonts w:ascii="Arial" w:cs="Arial" w:eastAsia="Arial" w:hAnsi="Arial"/>
          <w:color w:val="0A66C2"/>
          <w:sz w:val="16"/>
          <w:szCs w:val="16"/>
        </w:rPr>
        <w:t xml:space="preserve">https://www.nlc.org/resource/21st-century-road-to-housing-act-faqs/</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Cities, Counties &amp; Regional Planners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(Cities, Counties &amp; Regional Planners)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2026-08-30T00:39:10.378Z</dcterms:created>
  <dcterms:modified xsi:type="dcterms:W3CDTF">2026-08-30T00:39:10.378Z</dcterms:modified>
</cp:coreProperties>
</file>

<file path=docProps/custom.xml><?xml version="1.0" encoding="utf-8"?>
<Properties xmlns="http://schemas.openxmlformats.org/officeDocument/2006/custom-properties" xmlns:vt="http://schemas.openxmlformats.org/officeDocument/2006/docPropsVTypes"/>
</file>