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1685925" cy="457200"/>
            <wp:effectExtent t="0" r="0" b="0" l="0"/>
            <wp:docPr id="1" name="AI Housers logo" descr="AI Housers — Houser Technologies LLC" title="AI Hou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685925" cy="457200"/>
                    </a:xfrm>
                    <a:prstGeom prst="rect">
                      <a:avLst/>
                    </a:prstGeom>
                  </pic:spPr>
                </pic:pic>
              </a:graphicData>
            </a:graphic>
          </wp:inline>
        </w:drawing>
      </w:r>
    </w:p>
    <w:p>
      <w:pPr>
        <w:pBdr>
          <w:bottom w:val="single" w:color="154360" w:sz="6" w:space="4"/>
        </w:pBdr>
        <w:spacing w:after="0" w:before="60"/>
      </w:pPr>
      <w:r>
        <w:rPr>
          <w:rFonts w:ascii="Arial" w:cs="Arial" w:eastAsia="Arial" w:hAnsi="Arial"/>
          <w:color w:val="4B5563"/>
          <w:sz w:val="17"/>
          <w:szCs w:val="17"/>
        </w:rPr>
        <w:t xml:space="preserve">Prepared from aihousers.com/road-to-housing</w:t>
      </w:r>
    </w:p>
    <w:p>
      <w:pPr>
        <w:spacing w:after="140" w:before="200"/>
      </w:pPr>
      <w:r>
        <w:rPr>
          <w:rFonts w:ascii="Arial" w:cs="Arial" w:eastAsia="Arial" w:hAnsi="Arial"/>
          <w:b/>
          <w:bCs/>
          <w:color w:val="154360"/>
          <w:spacing w:val="40"/>
          <w:sz w:val="40"/>
          <w:szCs w:val="40"/>
        </w:rPr>
        <w:t xml:space="preserve">MEMORANDUM</w:t>
      </w:r>
    </w:p>
    <w:p>
      <w:pPr>
        <w:tabs>
          <w:tab w:val="left" w:pos="1100"/>
        </w:tabs>
        <w:spacing w:after="40" w:line="276"/>
        <w:ind w:left="1100" w:hanging="1100"/>
      </w:pPr>
      <w:r>
        <w:rPr>
          <w:rFonts w:ascii="Arial" w:cs="Arial" w:eastAsia="Arial" w:hAnsi="Arial"/>
          <w:b/>
          <w:bCs/>
          <w:color w:val="154360"/>
          <w:sz w:val="22"/>
          <w:szCs w:val="22"/>
        </w:rPr>
        <w:t xml:space="preserve">TO:	</w:t>
      </w:r>
      <w:r>
        <w:rPr>
          <w:rFonts w:ascii="Arial" w:cs="Arial" w:eastAsia="Arial" w:hAnsi="Arial"/>
          <w:color w:val="1A1A2E"/>
          <w:sz w:val="22"/>
          <w:szCs w:val="22"/>
        </w:rPr>
        <w:t xml:space="preserve">[Board / Leadership Team]</w:t>
      </w:r>
    </w:p>
    <w:p>
      <w:pPr>
        <w:tabs>
          <w:tab w:val="left" w:pos="1100"/>
        </w:tabs>
        <w:spacing w:after="40" w:line="276"/>
        <w:ind w:left="1100" w:hanging="1100"/>
      </w:pPr>
      <w:r>
        <w:rPr>
          <w:rFonts w:ascii="Arial" w:cs="Arial" w:eastAsia="Arial" w:hAnsi="Arial"/>
          <w:b/>
          <w:bCs/>
          <w:color w:val="154360"/>
          <w:sz w:val="22"/>
          <w:szCs w:val="22"/>
        </w:rPr>
        <w:t xml:space="preserve">FROM:	</w:t>
      </w:r>
      <w:r>
        <w:rPr>
          <w:rFonts w:ascii="Arial" w:cs="Arial" w:eastAsia="Arial" w:hAnsi="Arial"/>
          <w:color w:val="1A1A2E"/>
          <w:sz w:val="22"/>
          <w:szCs w:val="22"/>
        </w:rPr>
        <w:t xml:space="preserve">[Name, Title]</w:t>
      </w:r>
    </w:p>
    <w:p>
      <w:pPr>
        <w:tabs>
          <w:tab w:val="left" w:pos="1100"/>
        </w:tabs>
        <w:spacing w:after="40" w:line="276"/>
        <w:ind w:left="1100" w:hanging="1100"/>
      </w:pPr>
      <w:r>
        <w:rPr>
          <w:rFonts w:ascii="Arial" w:cs="Arial" w:eastAsia="Arial" w:hAnsi="Arial"/>
          <w:b/>
          <w:bCs/>
          <w:color w:val="154360"/>
          <w:sz w:val="22"/>
          <w:szCs w:val="22"/>
        </w:rPr>
        <w:t xml:space="preserve">DATE:	</w:t>
      </w:r>
      <w:r>
        <w:rPr>
          <w:rFonts w:ascii="Arial" w:cs="Arial" w:eastAsia="Arial" w:hAnsi="Arial"/>
          <w:color w:val="1A1A2E"/>
          <w:sz w:val="22"/>
          <w:szCs w:val="22"/>
        </w:rPr>
        <w:t xml:space="preserve">[Date]</w:t>
      </w:r>
    </w:p>
    <w:p>
      <w:pPr>
        <w:tabs>
          <w:tab w:val="left" w:pos="1100"/>
        </w:tabs>
        <w:spacing w:after="0" w:line="276"/>
        <w:ind w:left="1100" w:hanging="1100"/>
      </w:pPr>
      <w:r>
        <w:rPr>
          <w:rFonts w:ascii="Arial" w:cs="Arial" w:eastAsia="Arial" w:hAnsi="Arial"/>
          <w:b/>
          <w:bCs/>
          <w:color w:val="154360"/>
          <w:sz w:val="22"/>
          <w:szCs w:val="22"/>
        </w:rPr>
        <w:t xml:space="preserve">RE:	</w:t>
      </w:r>
      <w:r>
        <w:rPr>
          <w:rFonts w:ascii="Arial" w:cs="Arial" w:eastAsia="Arial" w:hAnsi="Arial"/>
          <w:color w:val="1A1A2E"/>
          <w:sz w:val="22"/>
          <w:szCs w:val="22"/>
        </w:rPr>
        <w:t xml:space="preserve">What the 21st Century ROAD to Housing Act means for [Agency Name] (Lenders, Banks &amp; Credit Unions)</w:t>
      </w:r>
    </w:p>
    <w:p>
      <w:pPr>
        <w:pBdr>
          <w:bottom w:val="single" w:color="DDE3EA" w:sz="4" w:space="6"/>
        </w:pBdr>
        <w:spacing w:after="160"/>
      </w:pPr>
      <w:r>
        <w:rPr>
          <w:rFonts w:ascii="Arial" w:cs="Arial" w:eastAsia="Arial" w:hAnsi="Arial"/>
          <w:color w:val="1A1A2E"/>
          <w:sz w:val="4"/>
          <w:szCs w:val="4"/>
        </w:rPr>
        <w:t xml:space="preserve"/>
      </w:r>
    </w:p>
    <w:p>
      <w:pPr>
        <w:pStyle w:val="Heading1"/>
        <w:keepNext/>
        <w:spacing w:after="100" w:before="280" w:line="276"/>
      </w:pPr>
      <w:r>
        <w:rPr>
          <w:rFonts w:ascii="Arial" w:cs="Arial" w:eastAsia="Arial" w:hAnsi="Arial"/>
          <w:b/>
          <w:bCs/>
          <w:color w:val="154360"/>
          <w:sz w:val="26"/>
          <w:szCs w:val="26"/>
        </w:rPr>
        <w:t xml:space="preserve">1. Bottom line</w:t>
      </w:r>
    </w:p>
    <w:p>
      <w:pPr>
        <w:spacing w:after="120" w:line="336"/>
      </w:pPr>
      <w:r>
        <w:rPr>
          <w:rFonts w:ascii="Arial" w:cs="Arial" w:eastAsia="Arial" w:hAnsi="Arial"/>
          <w:b/>
          <w:bCs/>
          <w:color w:val="154360"/>
          <w:sz w:val="22"/>
          <w:szCs w:val="22"/>
        </w:rPr>
        <w:t xml:space="preserve">Mortgage lenders get an FHA small-dollar pilot, new appraiser and reconsideration-of-value rules, and URLA changes on a six-month clock; community banks get brokered-deposit, exam-cycle, and de novo relief that is already law.</w:t>
      </w:r>
    </w:p>
    <w:p>
      <w:pPr>
        <w:spacing w:after="120" w:line="336"/>
      </w:pPr>
      <w:r>
        <w:rPr>
          <w:rFonts w:ascii="Arial" w:cs="Arial" w:eastAsia="Arial" w:hAnsi="Arial"/>
          <w:color w:val="1A1A2E"/>
          <w:sz w:val="22"/>
          <w:szCs w:val="22"/>
        </w:rPr>
        <w:t xml:space="preserve">The Act reaches lenders from two directions.  On the mortgage side, Section 105 lets FHA stand up a pilot within a year for mortgages of $100,000 or less (lender payments, adjusted FHA terms, borrower grants), Sections 401–402 send CFPB to report on loan-originator compensation and the QM points-and-fees thresholds for small loans (due about April 7, 2027), Section 403 lets state-licensed as well as certified appraisers do FHA appraisals via a mortgagee letter due about March 8, 2027, and Section 704 requires USDA, VA, FHA and FHFA to make lenders keep reconsideration-of-value procedures.</w:t>
      </w:r>
    </w:p>
    <w:p>
      <w:pPr>
        <w:pStyle w:val="Heading1"/>
        <w:keepNext/>
        <w:spacing w:after="100" w:before="280" w:line="276"/>
      </w:pPr>
      <w:r>
        <w:rPr>
          <w:rFonts w:ascii="Arial" w:cs="Arial" w:eastAsia="Arial" w:hAnsi="Arial"/>
          <w:b/>
          <w:bCs/>
          <w:color w:val="154360"/>
          <w:sz w:val="26"/>
          <w:szCs w:val="26"/>
        </w:rPr>
        <w:t xml:space="preserve">2. What the law is</w:t>
      </w:r>
    </w:p>
    <w:p>
      <w:pPr>
        <w:pStyle w:val="ListParagraph"/>
        <w:numPr>
          <w:ilvl w:val="0"/>
          <w:numId w:val="2"/>
        </w:numPr>
        <w:spacing w:after="60" w:line="336"/>
      </w:pPr>
      <w:r>
        <w:rPr>
          <w:rFonts w:ascii="Arial" w:cs="Arial" w:eastAsia="Arial" w:hAnsi="Arial"/>
          <w:color w:val="1A1A2E"/>
          <w:sz w:val="22"/>
          <w:szCs w:val="22"/>
        </w:rPr>
        <w:t xml:space="preserve">21st Century ROAD to Housing Act — H.R. 6644 (119th Congress), Public Law 119-101. </w:t>
      </w:r>
      <w:r>
        <w:rPr>
          <w:rFonts w:ascii="Arial" w:cs="Arial" w:eastAsia="Arial" w:hAnsi="Arial"/>
          <w:color w:val="1A1A2E"/>
          <w:sz w:val="22"/>
          <w:szCs w:val="22"/>
        </w:rPr>
        <w:t xml:space="preserve">Enacted July 11, 2026 — became law without the President’s signature.</w:t>
      </w:r>
    </w:p>
    <w:p>
      <w:pPr>
        <w:pStyle w:val="ListParagraph"/>
        <w:numPr>
          <w:ilvl w:val="0"/>
          <w:numId w:val="2"/>
        </w:numPr>
        <w:spacing w:after="60" w:line="336"/>
      </w:pPr>
      <w:r>
        <w:rPr>
          <w:rFonts w:ascii="Arial" w:cs="Arial" w:eastAsia="Arial" w:hAnsi="Arial"/>
          <w:color w:val="1A1A2E"/>
          <w:sz w:val="22"/>
          <w:szCs w:val="22"/>
        </w:rPr>
        <w:t xml:space="preserve">12 titles and 60 sections (Sec. 1 plus Secs. 101–1202), reforming how existing HUD, USDA, FHA, and VA housing programs run.</w:t>
      </w:r>
    </w:p>
    <w:p>
      <w:pPr>
        <w:pStyle w:val="ListParagraph"/>
        <w:numPr>
          <w:ilvl w:val="0"/>
          <w:numId w:val="2"/>
        </w:numPr>
        <w:spacing w:after="60" w:line="336"/>
      </w:pPr>
      <w:r>
        <w:rPr>
          <w:rFonts w:ascii="Arial" w:cs="Arial" w:eastAsia="Arial" w:hAnsi="Arial"/>
          <w:color w:val="1A1A2E"/>
          <w:sz w:val="22"/>
          <w:szCs w:val="22"/>
        </w:rPr>
        <w:t xml:space="preserve">Final passage: Senate 85–5, June 22, 2026 (Vote 182); House 358–32, June 23, 2026 (Roll Call 224) — cleared for the President.</w:t>
      </w:r>
    </w:p>
    <w:p>
      <w:pPr>
        <w:pStyle w:val="ListParagraph"/>
        <w:numPr>
          <w:ilvl w:val="0"/>
          <w:numId w:val="2"/>
        </w:numPr>
        <w:spacing w:after="60" w:line="336"/>
      </w:pPr>
      <w:r>
        <w:rPr>
          <w:rFonts w:ascii="Arial" w:cs="Arial" w:eastAsia="Arial" w:hAnsi="Arial"/>
          <w:color w:val="1A1A2E"/>
          <w:sz w:val="22"/>
          <w:szCs w:val="22"/>
        </w:rPr>
        <w:t xml:space="preserve">Money: the Act is mostly authorizations and reforms, not appropriations. Sec. 1202 authorizes no additional funds; the largest new authorization is the Innovation Fund at $200M / yr (Sec. 208), not yet appropriated.</w:t>
      </w:r>
    </w:p>
    <w:p>
      <w:pPr>
        <w:pStyle w:val="ListParagraph"/>
        <w:numPr>
          <w:ilvl w:val="0"/>
          <w:numId w:val="2"/>
        </w:numPr>
        <w:spacing w:after="60" w:line="336"/>
      </w:pPr>
      <w:r>
        <w:rPr>
          <w:rFonts w:ascii="Arial" w:cs="Arial" w:eastAsia="Arial" w:hAnsi="Arial"/>
          <w:color w:val="1A1A2E"/>
          <w:sz w:val="22"/>
          <w:szCs w:val="22"/>
        </w:rPr>
        <w:t xml:space="preserve">Clock: the first big deadline cluster lands Jan 7, 2027 — 180 days after enactment — investor ban takes effect; several HUD/USDA deliverables due.</w:t>
      </w:r>
    </w:p>
    <w:p>
      <w:pPr>
        <w:pStyle w:val="Heading1"/>
        <w:keepNext/>
        <w:spacing w:after="100" w:before="280" w:line="276"/>
      </w:pPr>
      <w:r>
        <w:rPr>
          <w:rFonts w:ascii="Arial" w:cs="Arial" w:eastAsia="Arial" w:hAnsi="Arial"/>
          <w:b/>
          <w:bCs/>
          <w:color w:val="154360"/>
          <w:sz w:val="26"/>
          <w:szCs w:val="26"/>
        </w:rPr>
        <w:t xml:space="preserve">3. What changes for us</w:t>
      </w:r>
    </w:p>
    <w:p>
      <w:pPr>
        <w:spacing w:after="120" w:line="336"/>
      </w:pPr>
      <w:r>
        <w:rPr>
          <w:rFonts w:ascii="Arial" w:cs="Arial" w:eastAsia="Arial" w:hAnsi="Arial"/>
          <w:color w:val="1A1A2E"/>
          <w:sz w:val="22"/>
          <w:szCs w:val="22"/>
        </w:rPr>
        <w:t xml:space="preserve">The provisions most relevant to lenders, banks &amp; credit unions, in section order. Full plain-language summaries are on the hub.</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150"/>
        <w:gridCol w:w="3030"/>
        <w:gridCol w:w="5900"/>
      </w:tblGrid>
      <w:tr>
        <w:trPr>
          <w:cantSplit/>
          <w:tblHeader/>
        </w:trPr>
        <w:tc>
          <w:tcPr>
            <w:tcW w:type="dxa" w:w="115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Sec.</w:t>
            </w:r>
          </w:p>
        </w:tc>
        <w:tc>
          <w:tcPr>
            <w:tcW w:type="dxa" w:w="303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Provision</w:t>
            </w:r>
          </w:p>
        </w:tc>
        <w:tc>
          <w:tcPr>
            <w:tcW w:type="dxa" w:w="590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What it means</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105</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FHA Small-Dollar Mortgages</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Authorizes (but does not require) HUD, through the FHA Commissioner, to launch a pilot within one year to expand access to mortgages of $100,000 or less on one- to four-unit principal residences.</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203</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Community Investment and Prosperity Act</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Raises the outer ceiling on public welfare investments — the authority national banks and state member banks use for LIHTC and other community development equity — from 15 percent to 20 percent of capital and surplus.</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401</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Creating Incentives for Small-Dollar Loan Originators</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Orders the CFPB Director to report to Congress within 270 days on how loan originators are paid across the mortgage market — salary, fixed-percentage commission, other commission structures, volume-based pay, and capped or floored commissions — and how those practices affect the availability of small-dollar mortgage…</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402</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Small-Dollar Mortgage Points and Fees</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Requires the CFPB, in consultation with HUD and FHFA, to evaluate within 270 days how "the thresholds under section 1026.43" of Regulation Z — the ability-to-repay and qualified mortgage rule — affect originations of mortgages under $100,000.</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403</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Appraisal Industry Improvement Act</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Modernizes appraiser rules on two fronts.  For FHA: roster appraisers must be state licensed or certified (federal employee appraisers need only one state), meet the USPAP competency rule, and complete an FHA-specific education course, implemented through a HUD mortgagee letter within 240 days that takes effect within 180 days after issuance.</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601</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Military Service Question</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Requires FHFA to make Fannie Mae and Freddie Mac add a short prompt to the Uniform Residential Loan Application, right below the military-service question and above the signature line: "If yes, you may qualify for a VA Home Loan.</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602</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Housing Unhoused Disabled Veterans Act</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Fixes a long-standing barrier for disabled veterans: VA disability compensation and pension (38 U.S.C. chapters 11 and 15) no longer counts when determining income eligibility for HUD-VASH, or when a HUD-VASH household is evaluated for other housing assistance.</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603</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Veterans Affairs Loan Informed Disclosure (VALID) Act</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Makes sure borrowers who might qualify for a VA loan learn about it.  The FHA "informed consumer choice" disclosure must now compare the cost of FHA insurance against a VA-guaranteed loan at prevailing rates (lenders need not determine VA eligibility), and FHFA must require the Enterprises to put a Yes/No/Prefer Not To Answer military-service question abo…</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704</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Appraisal Modernization Act</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Two appraisal-fairness steps.  First, USDA, VA, the FHA Commissioner and FHFA must each require creditors on federally backed mortgage loans to keep a review-and-resolution procedure for consumer-initiated reconsideration of value or a second appraisal on principal-dwelling loans.</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901</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Community Bank Deposit Access</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Carves certain custodial deposits out of the FDIC’s brokered-deposit rules for smaller, healthy banks.</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902</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Keeping Deposits Local</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Expands and tiers the reciprocal-deposit exclusion from brokered-deposit treatment.</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903</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Tailored Regulatory Updates for Supervisory Testing</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 one-line change with real supervisory impact: the total-asset threshold that lets qualifying banks be examined on an 18-month (rather than 12-month) on-site cycle doubles from $3 billion to $6 billion.</w:t>
            </w:r>
          </w:p>
        </w:tc>
      </w:tr>
    </w:tbl>
    <w:p>
      <w:pPr>
        <w:pStyle w:val="Heading1"/>
        <w:keepNext/>
        <w:spacing w:after="100" w:before="280" w:line="276"/>
      </w:pPr>
      <w:r>
        <w:rPr>
          <w:rFonts w:ascii="Arial" w:cs="Arial" w:eastAsia="Arial" w:hAnsi="Arial"/>
          <w:b/>
          <w:bCs/>
          <w:color w:val="154360"/>
          <w:sz w:val="26"/>
          <w:szCs w:val="26"/>
        </w:rPr>
        <w:t xml:space="preserve">4. Deadlines to calendar</w:t>
      </w:r>
    </w:p>
    <w:p>
      <w:pPr>
        <w:spacing w:after="120" w:line="336"/>
      </w:pPr>
      <w:r>
        <w:rPr>
          <w:rFonts w:ascii="Arial" w:cs="Arial" w:eastAsia="Arial" w:hAnsi="Arial"/>
          <w:color w:val="1A1A2E"/>
          <w:sz w:val="22"/>
          <w:szCs w:val="22"/>
        </w:rPr>
        <w:t xml:space="preserve">Statutory dates derived from the July 11, 2026 enactment. Dates the hub already tracks as met are not listed. “Who” is the agency the statute names; add your internal owner in the margin.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400"/>
        <w:gridCol w:w="7280"/>
        <w:gridCol w:w="1400"/>
      </w:tblGrid>
      <w:tr>
        <w:trPr>
          <w:cantSplit/>
          <w:tblHeader/>
        </w:trPr>
        <w:tc>
          <w:tcPr>
            <w:tcW w:type="dxa" w:w="140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Date</w:t>
            </w:r>
          </w:p>
        </w:tc>
        <w:tc>
          <w:tcPr>
            <w:tcW w:type="dxa" w:w="728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Action</w:t>
            </w:r>
          </w:p>
        </w:tc>
        <w:tc>
          <w:tcPr>
            <w:tcW w:type="dxa" w:w="140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Who</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Oct 9, 2026</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Report to House Financial Services and Senate Banking on how quickly USDA decides Section 502 and 504 loan and grant applications, with justifications for eligibility determinations that take longer than 90 days and recommendations to shorten timelines (§502(s)). (Sec. 502)</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USDA-RHS</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7, 2027</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The Title X restriction on large institutional investors purchasing single-family homes takes effect, along with the related requirements in §1001(b) and (d). (Sec. 1001)</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7, 2027</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Each large institutional investor notifies HUD whether it meets the statutory definition and reports how many single-family homes it controls and where (city and state), unless it owns 10 or fewer homes in a city. (Sec. 1001)</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Other</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11, 2027</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By regulation or order, require Fannie Mae and Freddie Mac to add a disclosure under the military service question on the Uniform Residential Loan Application: "If yes, you may qualify for a VA Home Loan. (Sec. 601)</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FHFA</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11, 2027</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Require the Enterprises to place a military service question ("Yes," "No," "Prefer Not To Answer") above the signature line of the URLA, and issue a rule to carry out the amendment (VALID Act). (Sec. 603)</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FHFA</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11, 2027</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FDIC reports to House Financial Services and Senate Banking on its study of reciprocal deposits, including benefits and potential risks (Keeping Deposits Local). (Sec. 902)</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Banking regulators</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Mar 8, 2027</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Issue a mortgagee letter or guidance implementing the new FHA appraiser eligibility rules (licensed as well as certified appraisers, trainee flexibility), spelling out requirements and a way for appraisers to show prior compliance. (Sec. 403)</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FHA</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Mar 8, 2027</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Publish a report assessing the feasibility, costs, benefits, and risks of a public, searchable appraisal-level database consolidating data held by FHFA, the Enterprises, HUD/FHA, USDA, and VA (Appraisal Modernization Act). (Sec. 704)</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GAO</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Apr 7, 2027</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Report to Senate Banking and House Financial Services on loan originator compensation practices across the mortgage market, including how originators are paid on small-dollar loans. (Sec. 401)</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CFPB</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Apr 7, 2027</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In consultation with HUD and FHFA, evaluate how the thresholds under Regulation Z §1026.43 affect originations of small-dollar mortgages (under $100,000). (Sec. 402)</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CFPB</w:t>
            </w:r>
          </w:p>
        </w:tc>
      </w:tr>
    </w:tbl>
    <w:p>
      <w:pPr>
        <w:pStyle w:val="Heading1"/>
        <w:keepNext/>
        <w:spacing w:after="100" w:before="280" w:line="276"/>
      </w:pPr>
      <w:r>
        <w:rPr>
          <w:rFonts w:ascii="Arial" w:cs="Arial" w:eastAsia="Arial" w:hAnsi="Arial"/>
          <w:b/>
          <w:bCs/>
          <w:color w:val="154360"/>
          <w:sz w:val="26"/>
          <w:szCs w:val="26"/>
        </w:rPr>
        <w:t xml:space="preserve">5. Recommended actions</w:t>
      </w:r>
    </w:p>
    <w:p>
      <w:pPr>
        <w:spacing w:after="120" w:line="336"/>
      </w:pPr>
      <w:r>
        <w:rPr>
          <w:rFonts w:ascii="Arial" w:cs="Arial" w:eastAsia="Arial" w:hAnsi="Arial"/>
          <w:color w:val="1A1A2E"/>
          <w:sz w:val="22"/>
          <w:szCs w:val="22"/>
        </w:rPr>
        <w:t xml:space="preserve">Grouped by suggested horizon. Assign an owner and a due date to each line you keep.</w:t>
      </w:r>
    </w:p>
    <w:p>
      <w:pPr>
        <w:pStyle w:val="Heading2"/>
        <w:keepNext/>
        <w:spacing w:after="60" w:before="160" w:line="276"/>
      </w:pPr>
      <w:r>
        <w:rPr>
          <w:rFonts w:ascii="Arial" w:cs="Arial" w:eastAsia="Arial" w:hAnsi="Arial"/>
          <w:b/>
          <w:bCs/>
          <w:color w:val="1B4F72"/>
          <w:sz w:val="22"/>
          <w:szCs w:val="22"/>
        </w:rPr>
        <w:t xml:space="preserve">Now</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Community banks under $10 billion: re-check brokered-deposit classification of custodial and reciprocal deposits under Sections 901–902, confirm whether the $6 billion extended-exam-cycle threshold now covers you (Section 903), and review de novo and capital phase-in options (Sections 907–908).</w:t>
      </w:r>
      <w:r>
        <w:rPr>
          <w:rFonts w:ascii="Arial" w:cs="Arial" w:eastAsia="Arial" w:hAnsi="Arial"/>
          <w:color w:val="4B5563"/>
          <w:sz w:val="18"/>
          <w:szCs w:val="18"/>
        </w:rPr>
        <w:t xml:space="preserve">  (Sec. 901, 902, 903, 907, 908)</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Federal credit unions rated well may move to six board meetings a year (at least one per quarter); de novo and lower-rated FCUs stay monthly.</w:t>
      </w:r>
      <w:r>
        <w:rPr>
          <w:rFonts w:ascii="Arial" w:cs="Arial" w:eastAsia="Arial" w:hAnsi="Arial"/>
          <w:color w:val="4B5563"/>
          <w:sz w:val="18"/>
          <w:szCs w:val="18"/>
        </w:rPr>
        <w:t xml:space="preserve">  (Sec. 904)</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Revisit public-welfare-investment (LIHTC, NMTC, CDFI) capacity: the cap for national banks and state member banks is now 20% of capital and surplus.</w:t>
      </w:r>
      <w:r>
        <w:rPr>
          <w:rFonts w:ascii="Arial" w:cs="Arial" w:eastAsia="Arial" w:hAnsi="Arial"/>
          <w:color w:val="4B5563"/>
          <w:sz w:val="18"/>
          <w:szCs w:val="18"/>
        </w:rPr>
        <w:t xml:space="preserve">  (Sec. 203)</w:t>
      </w:r>
      <w:r>
        <w:rPr>
          <w:rFonts w:ascii="Arial" w:cs="Arial" w:eastAsia="Arial" w:hAnsi="Arial"/>
          <w:color w:val="A66A15"/>
          <w:sz w:val="18"/>
          <w:szCs w:val="18"/>
        </w:rPr>
        <w:t xml:space="preserve">  [Owner]  [Due]</w:t>
      </w:r>
    </w:p>
    <w:p>
      <w:pPr>
        <w:pStyle w:val="Heading2"/>
        <w:keepNext/>
        <w:spacing w:after="60" w:before="160" w:line="276"/>
      </w:pPr>
      <w:r>
        <w:rPr>
          <w:rFonts w:ascii="Arial" w:cs="Arial" w:eastAsia="Arial" w:hAnsi="Arial"/>
          <w:b/>
          <w:bCs/>
          <w:color w:val="1B4F72"/>
          <w:sz w:val="22"/>
          <w:szCs w:val="22"/>
        </w:rPr>
        <w:t xml:space="preserve">By end of 2026</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Plan URLA and disclosure changes: FHFA must require Fannie Mae and Freddie Mac to add a military-service question (Yes/No/Prefer not to answer) and the VA-eligibility prompt above the signature line by about January 11, 2027; FHA’s informed-consumer-choice notice must add a VA-loan cost comparison.</w:t>
      </w:r>
      <w:r>
        <w:rPr>
          <w:rFonts w:ascii="Arial" w:cs="Arial" w:eastAsia="Arial" w:hAnsi="Arial"/>
          <w:color w:val="4B5563"/>
          <w:sz w:val="18"/>
          <w:szCs w:val="18"/>
        </w:rPr>
        <w:t xml:space="preserve">  (Sec. 601, 603)</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Servicers and loan-sale bidders: confirm loss-mitigation and REO acquisitions fit the Section 1001 exceptions and be ready for HUD’s Title X attestation requirements in loan sales.</w:t>
      </w:r>
      <w:r>
        <w:rPr>
          <w:rFonts w:ascii="Arial" w:cs="Arial" w:eastAsia="Arial" w:hAnsi="Arial"/>
          <w:color w:val="4B5563"/>
          <w:sz w:val="18"/>
          <w:szCs w:val="18"/>
        </w:rPr>
        <w:t xml:space="preserve">  (Sec. 1001)</w:t>
      </w:r>
      <w:r>
        <w:rPr>
          <w:rFonts w:ascii="Arial" w:cs="Arial" w:eastAsia="Arial" w:hAnsi="Arial"/>
          <w:color w:val="A66A15"/>
          <w:sz w:val="18"/>
          <w:szCs w:val="18"/>
        </w:rPr>
        <w:t xml:space="preserve">  [Owner]  [Due]</w:t>
      </w:r>
    </w:p>
    <w:p>
      <w:pPr>
        <w:pStyle w:val="Heading2"/>
        <w:keepNext/>
        <w:spacing w:after="60" w:before="160" w:line="276"/>
      </w:pPr>
      <w:r>
        <w:rPr>
          <w:rFonts w:ascii="Arial" w:cs="Arial" w:eastAsia="Arial" w:hAnsi="Arial"/>
          <w:b/>
          <w:bCs/>
          <w:color w:val="1B4F72"/>
          <w:sz w:val="22"/>
          <w:szCs w:val="22"/>
        </w:rPr>
        <w:t xml:space="preserve">In 2027</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Build or document a reconsideration-of-value process for federally backed mortgage loans (FHA, VA, USDA, and Enterprise loans) ahead of agency requirements.</w:t>
      </w:r>
      <w:r>
        <w:rPr>
          <w:rFonts w:ascii="Arial" w:cs="Arial" w:eastAsia="Arial" w:hAnsi="Arial"/>
          <w:color w:val="4B5563"/>
          <w:sz w:val="18"/>
          <w:szCs w:val="18"/>
        </w:rPr>
        <w:t xml:space="preserve">  (Sec. 704)</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Watch for FHA’s Section 105 small-dollar pilot (mortgages of $100,000 or less on 1–4 unit principal residences) and decide whether to participate; FHA may launch it within a year and may not newly establish it after July 11, 2029.</w:t>
      </w:r>
      <w:r>
        <w:rPr>
          <w:rFonts w:ascii="Arial" w:cs="Arial" w:eastAsia="Arial" w:hAnsi="Arial"/>
          <w:color w:val="4B5563"/>
          <w:sz w:val="18"/>
          <w:szCs w:val="18"/>
        </w:rPr>
        <w:t xml:space="preserve">  (Sec. 105)</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Update appraiser panels once HUD issues the Section 403 mortgagee letter (due about March 8, 2027, effective within 180 days): state-licensed appraisers become eligible for the FHA roster, new appraisers must complete FHA education, and state trainee appraisers join the national registry.</w:t>
      </w:r>
      <w:r>
        <w:rPr>
          <w:rFonts w:ascii="Arial" w:cs="Arial" w:eastAsia="Arial" w:hAnsi="Arial"/>
          <w:color w:val="4B5563"/>
          <w:sz w:val="18"/>
          <w:szCs w:val="18"/>
        </w:rPr>
        <w:t xml:space="preserve">  (Sec. 403)</w:t>
      </w:r>
      <w:r>
        <w:rPr>
          <w:rFonts w:ascii="Arial" w:cs="Arial" w:eastAsia="Arial" w:hAnsi="Arial"/>
          <w:color w:val="A66A15"/>
          <w:sz w:val="18"/>
          <w:szCs w:val="18"/>
        </w:rPr>
        <w:t xml:space="preserve">  [Owner]  [Due]</w:t>
      </w:r>
    </w:p>
    <w:p>
      <w:pPr>
        <w:pStyle w:val="Heading2"/>
        <w:keepNext/>
        <w:spacing w:after="60" w:before="160" w:line="276"/>
      </w:pPr>
      <w:r>
        <w:rPr>
          <w:rFonts w:ascii="Arial" w:cs="Arial" w:eastAsia="Arial" w:hAnsi="Arial"/>
          <w:b/>
          <w:bCs/>
          <w:color w:val="1B4F72"/>
          <w:sz w:val="22"/>
          <w:szCs w:val="22"/>
        </w:rPr>
        <w:t xml:space="preserve">Watch</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Track the CFPB reports on loan-originator compensation and on Reg Z points-and-fees thresholds for small-dollar loans (both due about April 7, 2027) — the final law dropped the Senate’s grant of rulemaking authority, so these are studies, not rules.</w:t>
      </w:r>
      <w:r>
        <w:rPr>
          <w:rFonts w:ascii="Arial" w:cs="Arial" w:eastAsia="Arial" w:hAnsi="Arial"/>
          <w:color w:val="4B5563"/>
          <w:sz w:val="18"/>
          <w:szCs w:val="18"/>
        </w:rPr>
        <w:t xml:space="preserve">  (Sec. 401, 402)</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Offer housing counseling to FHA, VA, USDA and Section 184 borrowers who are 30 or more days delinquent, and expect HUD performance reviews of counseling agencies you refer to.</w:t>
      </w:r>
      <w:r>
        <w:rPr>
          <w:rFonts w:ascii="Arial" w:cs="Arial" w:eastAsia="Arial" w:hAnsi="Arial"/>
          <w:color w:val="4B5563"/>
          <w:sz w:val="18"/>
          <w:szCs w:val="18"/>
        </w:rPr>
        <w:t xml:space="preserve">  (Sec. 101)</w:t>
      </w:r>
      <w:r>
        <w:rPr>
          <w:rFonts w:ascii="Arial" w:cs="Arial" w:eastAsia="Arial" w:hAnsi="Arial"/>
          <w:color w:val="A66A15"/>
          <w:sz w:val="18"/>
          <w:szCs w:val="18"/>
        </w:rPr>
        <w:t xml:space="preserve">  [Owner]  [Due]</w:t>
      </w:r>
    </w:p>
    <w:p>
      <w:pPr>
        <w:pStyle w:val="Heading1"/>
        <w:keepNext/>
        <w:spacing w:after="100" w:before="280" w:line="276"/>
      </w:pPr>
      <w:r>
        <w:rPr>
          <w:rFonts w:ascii="Arial" w:cs="Arial" w:eastAsia="Arial" w:hAnsi="Arial"/>
          <w:b/>
          <w:bCs/>
          <w:color w:val="154360"/>
          <w:sz w:val="26"/>
          <w:szCs w:val="26"/>
        </w:rPr>
        <w:t xml:space="preserve">6. Watch-outs</w:t>
      </w:r>
    </w:p>
    <w:p>
      <w:pPr>
        <w:pStyle w:val="ListParagraph"/>
        <w:numPr>
          <w:ilvl w:val="0"/>
          <w:numId w:val="2"/>
        </w:numPr>
        <w:spacing w:after="60" w:line="336"/>
      </w:pPr>
      <w:r>
        <w:rPr>
          <w:rFonts w:ascii="Arial" w:cs="Arial" w:eastAsia="Arial" w:hAnsi="Arial"/>
          <w:color w:val="1A1A2E"/>
          <w:sz w:val="22"/>
          <w:szCs w:val="22"/>
        </w:rPr>
        <w:t xml:space="preserve">Sections 401–402 are studies, not rules — the Senate’s CFPB rulemaking authority was dropped in the final text.</w:t>
      </w:r>
    </w:p>
    <w:p>
      <w:pPr>
        <w:pStyle w:val="ListParagraph"/>
        <w:numPr>
          <w:ilvl w:val="0"/>
          <w:numId w:val="2"/>
        </w:numPr>
        <w:spacing w:after="60" w:line="336"/>
      </w:pPr>
      <w:r>
        <w:rPr>
          <w:rFonts w:ascii="Arial" w:cs="Arial" w:eastAsia="Arial" w:hAnsi="Arial"/>
          <w:color w:val="1A1A2E"/>
          <w:sz w:val="22"/>
          <w:szCs w:val="22"/>
        </w:rPr>
        <w:t xml:space="preserve">The Act contains no GSE reform, no credit-scoring provisions, and no change to Davis-Bacon; Section 702 only adds monthly MMI Fund capital-ratio reports to Congress.</w:t>
      </w:r>
    </w:p>
    <w:p>
      <w:pPr>
        <w:pStyle w:val="ListParagraph"/>
        <w:numPr>
          <w:ilvl w:val="0"/>
          <w:numId w:val="2"/>
        </w:numPr>
        <w:spacing w:after="60" w:line="336"/>
      </w:pPr>
      <w:r>
        <w:rPr>
          <w:rFonts w:ascii="Arial" w:cs="Arial" w:eastAsia="Arial" w:hAnsi="Arial"/>
          <w:color w:val="1A1A2E"/>
          <w:sz w:val="22"/>
          <w:szCs w:val="22"/>
        </w:rPr>
        <w:t xml:space="preserve">Section 908 has an internal inconsistency (180-day review versus a 90-day deemed-approval clause) that has not been corrected as of August 2026.</w:t>
      </w:r>
    </w:p>
    <w:p>
      <w:pPr>
        <w:pStyle w:val="ListParagraph"/>
        <w:numPr>
          <w:ilvl w:val="0"/>
          <w:numId w:val="2"/>
        </w:numPr>
        <w:spacing w:after="60" w:line="336"/>
      </w:pPr>
      <w:r>
        <w:rPr>
          <w:rFonts w:ascii="Arial" w:cs="Arial" w:eastAsia="Arial" w:hAnsi="Arial"/>
          <w:color w:val="1A1A2E"/>
          <w:sz w:val="22"/>
          <w:szCs w:val="22"/>
        </w:rPr>
        <w:t xml:space="preserve">The FHA small-dollar pilot is discretionary ("may") and subject to appropriations; nothing obliges FHA to launch it.</w:t>
      </w:r>
    </w:p>
    <w:p>
      <w:pPr>
        <w:pStyle w:val="ListParagraph"/>
        <w:numPr>
          <w:ilvl w:val="0"/>
          <w:numId w:val="2"/>
        </w:numPr>
        <w:spacing w:after="60" w:line="336"/>
      </w:pPr>
      <w:r>
        <w:rPr>
          <w:rFonts w:ascii="Arial" w:cs="Arial" w:eastAsia="Arial" w:hAnsi="Arial"/>
          <w:color w:val="1A1A2E"/>
          <w:sz w:val="22"/>
          <w:szCs w:val="22"/>
        </w:rPr>
        <w:t xml:space="preserve">Section 1101 (no Fed central bank digital currency, sunset December 31, 2030) is in the same law but has no direct lending effect.</w:t>
      </w:r>
    </w:p>
    <w:p>
      <w:pPr>
        <w:pStyle w:val="Heading1"/>
        <w:keepNext/>
        <w:spacing w:after="100" w:before="280" w:line="276"/>
      </w:pPr>
      <w:r>
        <w:rPr>
          <w:rFonts w:ascii="Arial" w:cs="Arial" w:eastAsia="Arial" w:hAnsi="Arial"/>
          <w:b/>
          <w:bCs/>
          <w:color w:val="154360"/>
          <w:sz w:val="26"/>
          <w:szCs w:val="26"/>
        </w:rPr>
        <w:t xml:space="preserve">7. Questions we still have</w:t>
      </w:r>
    </w:p>
    <w:p>
      <w:pPr>
        <w:keepNext/>
        <w:spacing w:after="120" w:line="336"/>
      </w:pPr>
      <w:r>
        <w:rPr>
          <w:rFonts w:ascii="Arial" w:cs="Arial" w:eastAsia="Arial" w:hAnsi="Arial"/>
          <w:color w:val="1A1A2E"/>
          <w:sz w:val="22"/>
          <w:szCs w:val="22"/>
        </w:rPr>
        <w:t xml:space="preserve">Open items the hub could not pin down as of its last review. Track them before relying on the underlying provision.</w:t>
      </w:r>
    </w:p>
    <w:p>
      <w:pPr>
        <w:pStyle w:val="ListParagraph"/>
        <w:numPr>
          <w:ilvl w:val="0"/>
          <w:numId w:val="2"/>
        </w:numPr>
        <w:spacing w:after="60" w:line="336"/>
      </w:pPr>
      <w:r>
        <w:rPr>
          <w:rFonts w:ascii="Arial" w:cs="Arial" w:eastAsia="Arial" w:hAnsi="Arial"/>
          <w:color w:val="1A1A2E"/>
          <w:sz w:val="22"/>
          <w:szCs w:val="22"/>
        </w:rPr>
        <w:t xml:space="preserve">Whether §401(c)’s CDFI due-consideration duty falls on anyone.</w:t>
      </w:r>
    </w:p>
    <w:p>
      <w:pPr>
        <w:pStyle w:val="ListParagraph"/>
        <w:numPr>
          <w:ilvl w:val="0"/>
          <w:numId w:val="2"/>
        </w:numPr>
        <w:spacing w:after="60" w:line="336"/>
      </w:pPr>
      <w:r>
        <w:rPr>
          <w:rFonts w:ascii="Arial" w:cs="Arial" w:eastAsia="Arial" w:hAnsi="Arial"/>
          <w:color w:val="1A1A2E"/>
          <w:sz w:val="22"/>
          <w:szCs w:val="22"/>
        </w:rPr>
        <w:t xml:space="preserve">The internal inconsistency in §908(b) between a 180-day agency review of de novo business-plan deviations and a 90-day deemed-approval clause.</w:t>
      </w:r>
    </w:p>
    <w:p>
      <w:pPr>
        <w:pStyle w:val="ListParagraph"/>
        <w:numPr>
          <w:ilvl w:val="0"/>
          <w:numId w:val="2"/>
        </w:numPr>
        <w:spacing w:after="60" w:line="336"/>
      </w:pPr>
      <w:r>
        <w:rPr>
          <w:rFonts w:ascii="Arial" w:cs="Arial" w:eastAsia="Arial" w:hAnsi="Arial"/>
          <w:color w:val="1A1A2E"/>
          <w:sz w:val="22"/>
          <w:szCs w:val="22"/>
        </w:rPr>
        <w:t xml:space="preserve">Whether "per violation" in §1001(d)(1) is per home or per transaction, and whether a contract signed before January 7, 2027 that closes after that date is prohibited.</w:t>
      </w:r>
    </w:p>
    <w:p>
      <w:pPr>
        <w:pStyle w:val="ListParagraph"/>
        <w:numPr>
          <w:ilvl w:val="0"/>
          <w:numId w:val="2"/>
        </w:numPr>
        <w:spacing w:after="60" w:line="336"/>
      </w:pPr>
      <w:r>
        <w:rPr>
          <w:rFonts w:ascii="Arial" w:cs="Arial" w:eastAsia="Arial" w:hAnsi="Arial"/>
          <w:color w:val="1A1A2E"/>
          <w:sz w:val="22"/>
          <w:szCs w:val="22"/>
        </w:rPr>
        <w:t xml:space="preserve">Whether a for-profit LIHTC syndicator or upper-tier fund whose attributed portfolio crosses 350 homes is caught by §1001 — and how §1001 treats year-15 dispositions and general-partner substitutions.</w:t>
      </w:r>
    </w:p>
    <w:p>
      <w:pPr>
        <w:pStyle w:val="Heading1"/>
        <w:keepNext/>
        <w:spacing w:after="100" w:before="280" w:line="276"/>
      </w:pPr>
      <w:r>
        <w:rPr>
          <w:rFonts w:ascii="Arial" w:cs="Arial" w:eastAsia="Arial" w:hAnsi="Arial"/>
          <w:b/>
          <w:bCs/>
          <w:color w:val="154360"/>
          <w:sz w:val="26"/>
          <w:szCs w:val="26"/>
        </w:rPr>
        <w:t xml:space="preserve">8. Sources</w:t>
      </w:r>
    </w:p>
    <w:p>
      <w:pPr>
        <w:pStyle w:val="ListParagraph"/>
        <w:keepNext w:val="false"/>
        <w:numPr>
          <w:ilvl w:val="0"/>
          <w:numId w:val="2"/>
        </w:numPr>
        <w:spacing w:after="40" w:line="288"/>
      </w:pPr>
      <w:r>
        <w:rPr>
          <w:rFonts w:ascii="Arial" w:cs="Arial" w:eastAsia="Arial" w:hAnsi="Arial"/>
          <w:b/>
          <w:bCs/>
          <w:color w:val="1A1A2E"/>
          <w:sz w:val="22"/>
          <w:szCs w:val="22"/>
        </w:rPr>
        <w:t xml:space="preserve">AI Housers hub — </w:t>
      </w:r>
      <w:r>
        <w:rPr>
          <w:rFonts w:ascii="Arial" w:cs="Arial" w:eastAsia="Arial" w:hAnsi="Arial"/>
          <w:color w:val="0A66C2"/>
          <w:sz w:val="22"/>
          <w:szCs w:val="22"/>
        </w:rPr>
        <w:t xml:space="preserve">https://aihousers.com/road-to-housing/for/lenders</w:t>
      </w:r>
    </w:p>
    <w:p>
      <w:pPr>
        <w:pStyle w:val="ListParagraph"/>
        <w:keepNext w:val="false"/>
        <w:numPr>
          <w:ilvl w:val="0"/>
          <w:numId w:val="2"/>
        </w:numPr>
        <w:spacing w:after="40" w:line="288"/>
      </w:pPr>
      <w:r>
        <w:rPr>
          <w:rFonts w:ascii="Arial" w:cs="Arial" w:eastAsia="Arial" w:hAnsi="Arial"/>
          <w:color w:val="1A1A2E"/>
          <w:sz w:val="22"/>
          <w:szCs w:val="22"/>
        </w:rPr>
        <w:t xml:space="preserve">H.R. 6644 — Enrolled bill text (21st Century ROAD to Housing Act) (GovInfo (GPO)) — </w:t>
      </w:r>
      <w:r>
        <w:rPr>
          <w:rFonts w:ascii="Arial" w:cs="Arial" w:eastAsia="Arial" w:hAnsi="Arial"/>
          <w:color w:val="0A66C2"/>
          <w:sz w:val="16"/>
          <w:szCs w:val="16"/>
        </w:rPr>
        <w:t xml:space="preserve">https://www.govinfo.gov/content/pkg/BILLS-119hr6644enr/html/BILLS-119hr6644enr.htm</w:t>
      </w:r>
    </w:p>
    <w:p>
      <w:pPr>
        <w:pStyle w:val="ListParagraph"/>
        <w:keepNext w:val="false"/>
        <w:numPr>
          <w:ilvl w:val="0"/>
          <w:numId w:val="2"/>
        </w:numPr>
        <w:spacing w:after="40" w:line="288"/>
      </w:pPr>
      <w:r>
        <w:rPr>
          <w:rFonts w:ascii="Arial" w:cs="Arial" w:eastAsia="Arial" w:hAnsi="Arial"/>
          <w:color w:val="1A1A2E"/>
          <w:sz w:val="22"/>
          <w:szCs w:val="22"/>
        </w:rPr>
        <w:t xml:space="preserve">BPC — What’s in the 21st Century ROAD to Housing Act? (Bipartisan Policy Center) — </w:t>
      </w:r>
      <w:r>
        <w:rPr>
          <w:rFonts w:ascii="Arial" w:cs="Arial" w:eastAsia="Arial" w:hAnsi="Arial"/>
          <w:color w:val="0A66C2"/>
          <w:sz w:val="16"/>
          <w:szCs w:val="16"/>
        </w:rPr>
        <w:t xml:space="preserve">https://bipartisanpolicy.org/explainer/whats-in-the-21st-century-road-to-housing-act/</w:t>
      </w:r>
    </w:p>
    <w:p>
      <w:pPr>
        <w:pStyle w:val="ListParagraph"/>
        <w:keepNext w:val="false"/>
        <w:numPr>
          <w:ilvl w:val="0"/>
          <w:numId w:val="2"/>
        </w:numPr>
        <w:spacing w:after="40" w:line="288"/>
      </w:pPr>
      <w:r>
        <w:rPr>
          <w:rFonts w:ascii="Arial" w:cs="Arial" w:eastAsia="Arial" w:hAnsi="Arial"/>
          <w:color w:val="1A1A2E"/>
          <w:sz w:val="22"/>
          <w:szCs w:val="22"/>
        </w:rPr>
        <w:t xml:space="preserve">BPC — 21st Century ROAD to Housing Act Implementation Tracker (Bipartisan Policy Center) — </w:t>
      </w:r>
      <w:r>
        <w:rPr>
          <w:rFonts w:ascii="Arial" w:cs="Arial" w:eastAsia="Arial" w:hAnsi="Arial"/>
          <w:color w:val="0A66C2"/>
          <w:sz w:val="16"/>
          <w:szCs w:val="16"/>
        </w:rPr>
        <w:t xml:space="preserve">https://bipartisanpolicy.org/hub/21st-century-road-to-housing-act-implementation-tracker/</w:t>
      </w:r>
    </w:p>
    <w:p>
      <w:pPr>
        <w:pStyle w:val="ListParagraph"/>
        <w:keepNext w:val="false"/>
        <w:numPr>
          <w:ilvl w:val="0"/>
          <w:numId w:val="2"/>
        </w:numPr>
        <w:spacing w:after="40" w:line="288"/>
      </w:pPr>
      <w:r>
        <w:rPr>
          <w:rFonts w:ascii="Arial" w:cs="Arial" w:eastAsia="Arial" w:hAnsi="Arial"/>
          <w:color w:val="1A1A2E"/>
          <w:sz w:val="22"/>
          <w:szCs w:val="22"/>
        </w:rPr>
        <w:t xml:space="preserve">Fact sheet — large institutional investors (Title X) (Senate Banking Committee) — </w:t>
      </w:r>
      <w:r>
        <w:rPr>
          <w:rFonts w:ascii="Arial" w:cs="Arial" w:eastAsia="Arial" w:hAnsi="Arial"/>
          <w:color w:val="0A66C2"/>
          <w:sz w:val="16"/>
          <w:szCs w:val="16"/>
        </w:rPr>
        <w:t xml:space="preserve">https://www.banking.senate.gov/imo/media/doc/road_lii.pdf</w:t>
      </w:r>
    </w:p>
    <w:p>
      <w:pPr>
        <w:pStyle w:val="ListParagraph"/>
        <w:keepNext w:val="false"/>
        <w:numPr>
          <w:ilvl w:val="0"/>
          <w:numId w:val="2"/>
        </w:numPr>
        <w:spacing w:after="40" w:line="288"/>
      </w:pPr>
      <w:r>
        <w:rPr>
          <w:rFonts w:ascii="Arial" w:cs="Arial" w:eastAsia="Arial" w:hAnsi="Arial"/>
          <w:color w:val="1A1A2E"/>
          <w:sz w:val="22"/>
          <w:szCs w:val="22"/>
        </w:rPr>
        <w:t xml:space="preserve">Warren/Schumer letter to FHFA Director Pulte urging implementation of ROAD directives (Senate Banking Committee (Minority)) — </w:t>
      </w:r>
      <w:r>
        <w:rPr>
          <w:rFonts w:ascii="Arial" w:cs="Arial" w:eastAsia="Arial" w:hAnsi="Arial"/>
          <w:color w:val="0A66C2"/>
          <w:sz w:val="16"/>
          <w:szCs w:val="16"/>
        </w:rPr>
        <w:t xml:space="preserve">https://www.banking.senate.gov/imo/media/doc/2026.07.26%20Letter_Pulte%20Affordability%20Follow%20Up%20v2.pdf</w:t>
      </w:r>
    </w:p>
    <w:p>
      <w:pPr>
        <w:pStyle w:val="ListParagraph"/>
        <w:keepNext w:val="false"/>
        <w:numPr>
          <w:ilvl w:val="0"/>
          <w:numId w:val="2"/>
        </w:numPr>
        <w:spacing w:after="40" w:line="288"/>
      </w:pPr>
      <w:r>
        <w:rPr>
          <w:rFonts w:ascii="Arial" w:cs="Arial" w:eastAsia="Arial" w:hAnsi="Arial"/>
          <w:color w:val="1A1A2E"/>
          <w:sz w:val="22"/>
          <w:szCs w:val="22"/>
        </w:rPr>
        <w:t xml:space="preserve">Executive Order 14376 — Stopping Wall Street From Competing With Main Street Homebuyers (Federal Register) — </w:t>
      </w:r>
      <w:r>
        <w:rPr>
          <w:rFonts w:ascii="Arial" w:cs="Arial" w:eastAsia="Arial" w:hAnsi="Arial"/>
          <w:color w:val="0A66C2"/>
          <w:sz w:val="16"/>
          <w:szCs w:val="16"/>
        </w:rPr>
        <w:t xml:space="preserve">https://www.federalregister.gov/documents/2026/01/23/2026-01424/stopping-wall-street-from-competing-with-main-street-homebuyers</w:t>
      </w:r>
    </w:p>
    <w:p>
      <w:pPr>
        <w:pStyle w:val="ListParagraph"/>
        <w:keepNext w:val="false"/>
        <w:numPr>
          <w:ilvl w:val="0"/>
          <w:numId w:val="2"/>
        </w:numPr>
        <w:spacing w:after="40" w:line="288"/>
      </w:pPr>
      <w:r>
        <w:rPr>
          <w:rFonts w:ascii="Arial" w:cs="Arial" w:eastAsia="Arial" w:hAnsi="Arial"/>
          <w:color w:val="1A1A2E"/>
          <w:sz w:val="22"/>
          <w:szCs w:val="22"/>
        </w:rPr>
        <w:t xml:space="preserve">HUD Non-Vacant Loan Sale (HNVLS 2026-1) — bidder attestation referencing Title X (HUD / Federal Register) — </w:t>
      </w:r>
      <w:r>
        <w:rPr>
          <w:rFonts w:ascii="Arial" w:cs="Arial" w:eastAsia="Arial" w:hAnsi="Arial"/>
          <w:color w:val="0A66C2"/>
          <w:sz w:val="16"/>
          <w:szCs w:val="16"/>
        </w:rPr>
        <w:t xml:space="preserve">https://www.federalregister.gov/documents/2026/08/10/2026-16242/second-notice-of-hud-non-vacant-loan-sale-hnvls-2026-1</w:t>
      </w:r>
    </w:p>
    <w:p>
      <w:pPr>
        <w:pStyle w:val="ListParagraph"/>
        <w:keepNext w:val="false"/>
        <w:numPr>
          <w:ilvl w:val="0"/>
          <w:numId w:val="2"/>
        </w:numPr>
        <w:spacing w:after="40" w:line="288"/>
      </w:pPr>
      <w:r>
        <w:rPr>
          <w:rFonts w:ascii="Arial" w:cs="Arial" w:eastAsia="Arial" w:hAnsi="Arial"/>
          <w:color w:val="1A1A2E"/>
          <w:sz w:val="22"/>
          <w:szCs w:val="22"/>
        </w:rPr>
        <w:t xml:space="preserve">FHA INFO notices (FHA INFO 2026-18: ROAD provisions “under evaluation”) (HUD / FHA) — </w:t>
      </w:r>
      <w:r>
        <w:rPr>
          <w:rFonts w:ascii="Arial" w:cs="Arial" w:eastAsia="Arial" w:hAnsi="Arial"/>
          <w:color w:val="0A66C2"/>
          <w:sz w:val="16"/>
          <w:szCs w:val="16"/>
        </w:rPr>
        <w:t xml:space="preserve">https://www.hud.gov/hud-partners/single-family-fha-info</w:t>
      </w:r>
    </w:p>
    <w:p>
      <w:pPr>
        <w:pStyle w:val="ListParagraph"/>
        <w:keepNext w:val="false"/>
        <w:numPr>
          <w:ilvl w:val="0"/>
          <w:numId w:val="2"/>
        </w:numPr>
        <w:spacing w:after="40" w:line="288"/>
      </w:pPr>
      <w:r>
        <w:rPr>
          <w:rFonts w:ascii="Arial" w:cs="Arial" w:eastAsia="Arial" w:hAnsi="Arial"/>
          <w:color w:val="1A1A2E"/>
          <w:sz w:val="22"/>
          <w:szCs w:val="22"/>
        </w:rPr>
        <w:t xml:space="preserve">HUD proposed rule — Revising the Definition of “Manufactured Home” to Lower Housing Costs (HUD / Federal Register) — </w:t>
      </w:r>
      <w:r>
        <w:rPr>
          <w:rFonts w:ascii="Arial" w:cs="Arial" w:eastAsia="Arial" w:hAnsi="Arial"/>
          <w:color w:val="0A66C2"/>
          <w:sz w:val="16"/>
          <w:szCs w:val="16"/>
        </w:rPr>
        <w:t xml:space="preserve">https://www.federalregister.gov/documents/2026/06/12/2026-11851/revising-the-definition-of-manufactured-home-to-lower-housing-costs</w:t>
      </w:r>
    </w:p>
    <w:p>
      <w:pPr>
        <w:pStyle w:val="ListParagraph"/>
        <w:keepNext w:val="false"/>
        <w:numPr>
          <w:ilvl w:val="0"/>
          <w:numId w:val="2"/>
        </w:numPr>
        <w:spacing w:after="40" w:line="288"/>
      </w:pPr>
      <w:r>
        <w:rPr>
          <w:rFonts w:ascii="Arial" w:cs="Arial" w:eastAsia="Arial" w:hAnsi="Arial"/>
          <w:color w:val="1A1A2E"/>
          <w:sz w:val="22"/>
          <w:szCs w:val="22"/>
        </w:rPr>
        <w:t xml:space="preserve">NAAHL — ROADmap: Implementation Guide and action matrix (National Association of Affordable Housing Lenders) — </w:t>
      </w:r>
      <w:r>
        <w:rPr>
          <w:rFonts w:ascii="Arial" w:cs="Arial" w:eastAsia="Arial" w:hAnsi="Arial"/>
          <w:color w:val="0A66C2"/>
          <w:sz w:val="16"/>
          <w:szCs w:val="16"/>
        </w:rPr>
        <w:t xml:space="preserve">https://naahl.org/thecenter/roadmap</w:t>
      </w:r>
    </w:p>
    <w:p>
      <w:pPr>
        <w:pStyle w:val="ListParagraph"/>
        <w:keepNext/>
        <w:numPr>
          <w:ilvl w:val="0"/>
          <w:numId w:val="2"/>
        </w:numPr>
        <w:spacing w:after="40" w:line="288"/>
      </w:pPr>
      <w:r>
        <w:rPr>
          <w:rFonts w:ascii="Arial" w:cs="Arial" w:eastAsia="Arial" w:hAnsi="Arial"/>
          <w:color w:val="1A1A2E"/>
          <w:sz w:val="22"/>
          <w:szCs w:val="22"/>
        </w:rPr>
        <w:t xml:space="preserve">NAAHL ROADmap — full implementation guide (PDF) (National Association of Affordable Housing Lenders) — </w:t>
      </w:r>
      <w:r>
        <w:rPr>
          <w:rFonts w:ascii="Arial" w:cs="Arial" w:eastAsia="Arial" w:hAnsi="Arial"/>
          <w:color w:val="0A66C2"/>
          <w:sz w:val="16"/>
          <w:szCs w:val="16"/>
        </w:rPr>
        <w:t xml:space="preserve">https://naahl.org/s/21CRoad_ImplementationGuide_072026.pdf</w:t>
      </w:r>
    </w:p>
    <w:p>
      <w:pPr>
        <w:pStyle w:val="ListParagraph"/>
        <w:keepNext/>
        <w:numPr>
          <w:ilvl w:val="0"/>
          <w:numId w:val="2"/>
        </w:numPr>
        <w:spacing w:after="40" w:line="288"/>
      </w:pPr>
      <w:r>
        <w:rPr>
          <w:rFonts w:ascii="Arial" w:cs="Arial" w:eastAsia="Arial" w:hAnsi="Arial"/>
          <w:color w:val="1A1A2E"/>
          <w:sz w:val="22"/>
          <w:szCs w:val="22"/>
        </w:rPr>
        <w:t xml:space="preserve">AEI Housing Center — Senate investor ban would cut supply, hurt low-income families (American Enterprise Institute) — </w:t>
      </w:r>
      <w:r>
        <w:rPr>
          <w:rFonts w:ascii="Arial" w:cs="Arial" w:eastAsia="Arial" w:hAnsi="Arial"/>
          <w:color w:val="0A66C2"/>
          <w:sz w:val="16"/>
          <w:szCs w:val="16"/>
        </w:rPr>
        <w:t xml:space="preserve">https://www.aei.org/research-products/report/senate-investor-ban-to-cut-supply-hurt-low-income-families/</w:t>
      </w:r>
    </w:p>
    <w:p>
      <w:pPr>
        <w:keepNext/>
        <w:pBdr>
          <w:top w:val="single" w:color="DDE3EA" w:sz="4" w:space="8"/>
        </w:pBdr>
        <w:spacing w:after="80" w:before="140" w:line="336"/>
      </w:pPr>
      <w:r>
        <w:rPr>
          <w:rFonts w:ascii="Arial" w:cs="Arial" w:eastAsia="Arial" w:hAnsi="Arial"/>
          <w:b/>
          <w:bCs/>
          <w:i/>
          <w:iCs/>
          <w:color w:val="154360"/>
          <w:sz w:val="22"/>
          <w:szCs w:val="22"/>
        </w:rPr>
        <w:t xml:space="preserve">Make it yours: </w:t>
      </w:r>
      <w:r>
        <w:rPr>
          <w:rFonts w:ascii="Arial" w:cs="Arial" w:eastAsia="Arial" w:hAnsi="Arial"/>
          <w:i/>
          <w:iCs/>
          <w:color w:val="1A1A2E"/>
          <w:sz w:val="22"/>
          <w:szCs w:val="22"/>
        </w:rPr>
        <w:t xml:space="preserve">replace the bracketed placeholders, trim rows that don’t apply, and add your local numbers.</w:t>
      </w:r>
    </w:p>
    <w:p>
      <w:pPr>
        <w:keepNext/>
        <w:spacing w:after="60" w:line="252"/>
      </w:pPr>
      <w:r>
        <w:rPr>
          <w:rFonts w:ascii="Arial" w:cs="Arial" w:eastAsia="Arial" w:hAnsi="Arial"/>
          <w:color w:val="4B5563"/>
          <w:sz w:val="17"/>
          <w:szCs w:val="17"/>
        </w:rPr>
        <w:t xml:space="preserve">Independent, plain-language explainer prepared by AI Housers (Houser Technologies LLC). Not legal, compliance, or financial advice; not affiliated with HUD, USDA, Congress, or any agency. Every fact traces to a primary or authoritative source; confirm against the enacted text and official agency guidance before acting.</w:t>
      </w:r>
    </w:p>
    <w:p>
      <w:pPr>
        <w:keepNext/>
        <w:spacing w:after="60" w:line="252"/>
      </w:pPr>
      <w:r>
        <w:rPr>
          <w:rFonts w:ascii="Arial" w:cs="Arial" w:eastAsia="Arial" w:hAnsi="Arial"/>
          <w:color w:val="4B5563"/>
          <w:sz w:val="17"/>
          <w:szCs w:val="17"/>
        </w:rPr>
        <w:t xml:space="preserve">Prepared from aihousers.com/road-to-housing · content reviewed August 29, 2026</w:t>
      </w:r>
    </w:p>
    <w:p>
      <w:pPr>
        <w:spacing w:after="0" w:line="252"/>
      </w:pPr>
      <w:r>
        <w:rPr>
          <w:rFonts w:ascii="Arial" w:cs="Arial" w:eastAsia="Arial" w:hAnsi="Arial"/>
          <w:color w:val="4B5563"/>
          <w:sz w:val="17"/>
          <w:szCs w:val="17"/>
        </w:rPr>
        <w:t xml:space="preserve">Reuse freely, including with your own logo, with attribution to AI Housers — aihousers.com/road-to-housing (CC BY 4.0). </w:t>
      </w:r>
      <w:r>
        <w:rPr>
          <w:rFonts w:ascii="Arial" w:cs="Arial" w:eastAsia="Arial" w:hAnsi="Arial"/>
          <w:color w:val="0A66C2"/>
          <w:sz w:val="17"/>
          <w:szCs w:val="17"/>
        </w:rPr>
        <w:t xml:space="preserve">https://creativecommons.org/licenses/by/4.0/</w:t>
      </w:r>
    </w:p>
    <w:sectPr>
      <w:headerReference w:type="default" r:id="rId7"/>
      <w:footerReference w:type="default" r:id="rId8"/>
      <w:pgSz w:w="12240" w:h="15840" w:orient="portrait"/>
      <w:pgMar w:top="1080" w:right="1080" w:bottom="1080" w:left="1080" w:header="500" w:footer="50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E3EA" w:sz="4" w:space="6"/>
      </w:pBdr>
      <w:tabs>
        <w:tab w:val="right" w:pos="10080"/>
      </w:tabs>
      <w:spacing w:after="0" w:line="240"/>
    </w:pPr>
    <w:r>
      <w:rPr>
        <w:rFonts w:ascii="Arial" w:cs="Arial" w:eastAsia="Arial" w:hAnsi="Arial"/>
        <w:color w:val="4B5563"/>
        <w:sz w:val="14"/>
        <w:szCs w:val="14"/>
      </w:rPr>
      <w:t xml:space="preserve">Houser Technologies LLC d/b/a AI Housers · aihousers.com · Not legal, compliance, or financial advice.</w:t>
    </w:r>
    <w:r>
      <w:rPr>
        <w:rFonts w:ascii="Arial" w:cs="Arial" w:eastAsia="Arial" w:hAnsi="Arial"/>
        <w:color w:val="4B5563"/>
        <w:sz w:val="14"/>
        <w:szCs w:val="14"/>
      </w:rPr>
      <w:t xml:space="preserve">	Page </w:t>
    </w:r>
    <w:r>
      <w:rPr>
        <w:rFonts w:ascii="Arial" w:cs="Arial" w:eastAsia="Arial" w:hAnsi="Arial"/>
        <w:color w:val="4B5563"/>
        <w:sz w:val="14"/>
        <w:szCs w:val="14"/>
      </w:rPr>
      <w:fldChar w:fldCharType="begin"/>
      <w:instrText xml:space="preserve">PAGE</w:instrText>
      <w:fldChar w:fldCharType="separate"/>
      <w:fldChar w:fldCharType="end"/>
    </w:r>
    <w:r>
      <w:rPr>
        <w:rFonts w:ascii="Arial" w:cs="Arial" w:eastAsia="Arial" w:hAnsi="Arial"/>
        <w:color w:val="4B5563"/>
        <w:sz w:val="14"/>
        <w:szCs w:val="14"/>
      </w:rPr>
      <w:t xml:space="preserve"> of </w:t>
    </w:r>
    <w:r>
      <w:rPr>
        <w:rFonts w:ascii="Arial" w:cs="Arial" w:eastAsia="Arial" w:hAnsi="Arial"/>
        <w:color w:val="4B5563"/>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rFonts w:ascii="Arial" w:cs="Arial" w:eastAsia="Arial" w:hAnsi="Arial"/>
        <w:color w:val="4B5563"/>
        <w:sz w:val="15"/>
        <w:szCs w:val="15"/>
      </w:rPr>
      <w:t xml:space="preserve">21st Century ROAD to Housing Act · Lenders, Banks &amp; Credit Unions · Leadership memo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rPr>
        <w:color w:val="1B4F7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Arial" w:cs="Arial" w:eastAsia="Arial" w:hAnsi="Arial"/>
      <w:b/>
      <w:bCs/>
      <w:color w:val="154360"/>
      <w:sz w:val="26"/>
      <w:szCs w:val="26"/>
    </w:rPr>
  </w:style>
  <w:style w:type="paragraph" w:styleId="Heading2">
    <w:name w:val="Heading 2"/>
    <w:basedOn w:val="Normal"/>
    <w:next w:val="Normal"/>
    <w:qFormat/>
    <w:rPr>
      <w:rFonts w:ascii="Arial" w:cs="Arial" w:eastAsia="Arial" w:hAnsi="Arial"/>
      <w:b/>
      <w:bCs/>
      <w:color w:val="1B4F7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8d29c19467000777720b1133f971811d85354e99.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21st Century ROAD to Housing Act — leadership memo (Lenders, Banks &amp; Credit Unions)</dc:title>
  <dc:creator>AI Housers</dc:creator>
  <dc:description>Independent, plain-language explainer prepared by AI Housers (Houser Technologies LLC). Not legal, compliance, or financial advice; not affiliated with HUD, USDA, Congress, or any agency. Every fact traces to a primary or authoritative source; confirm against the enacted text and official agency guidance before acting.</dc:description>
  <cp:lastModifiedBy>Un-named</cp:lastModifiedBy>
  <cp:revision>1</cp:revision>
  <dcterms:created xsi:type="dcterms:W3CDTF">2026-08-30T00:38:35.287Z</dcterms:created>
  <dcterms:modified xsi:type="dcterms:W3CDTF">2026-08-30T00:38:35.287Z</dcterms:modified>
</cp:coreProperties>
</file>

<file path=docProps/custom.xml><?xml version="1.0" encoding="utf-8"?>
<Properties xmlns="http://schemas.openxmlformats.org/officeDocument/2006/custom-properties" xmlns:vt="http://schemas.openxmlformats.org/officeDocument/2006/docPropsVTypes"/>
</file>