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1685925" cy="457200"/>
            <wp:effectExtent t="0" r="0" b="0" l="0"/>
            <wp:docPr id="1" name="AI Housers logo" descr="AI Housers — Houser Technologies LLC" title="AI Hous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685925" cy="457200"/>
                    </a:xfrm>
                    <a:prstGeom prst="rect">
                      <a:avLst/>
                    </a:prstGeom>
                  </pic:spPr>
                </pic:pic>
              </a:graphicData>
            </a:graphic>
          </wp:inline>
        </w:drawing>
      </w:r>
    </w:p>
    <w:p>
      <w:pPr>
        <w:pBdr>
          <w:bottom w:val="single" w:color="154360" w:sz="6" w:space="4"/>
        </w:pBdr>
        <w:spacing w:after="0" w:before="60"/>
      </w:pPr>
      <w:r>
        <w:rPr>
          <w:rFonts w:ascii="Arial" w:cs="Arial" w:eastAsia="Arial" w:hAnsi="Arial"/>
          <w:color w:val="4B5563"/>
          <w:sz w:val="17"/>
          <w:szCs w:val="17"/>
        </w:rPr>
        <w:t xml:space="preserve">Prepared from aihousers.com/road-to-housing</w:t>
      </w:r>
    </w:p>
    <w:p>
      <w:pPr>
        <w:spacing w:after="140" w:before="200"/>
      </w:pPr>
      <w:r>
        <w:rPr>
          <w:rFonts w:ascii="Arial" w:cs="Arial" w:eastAsia="Arial" w:hAnsi="Arial"/>
          <w:b/>
          <w:bCs/>
          <w:color w:val="154360"/>
          <w:spacing w:val="40"/>
          <w:sz w:val="40"/>
          <w:szCs w:val="40"/>
        </w:rPr>
        <w:t xml:space="preserve">MEMORANDUM</w:t>
      </w:r>
    </w:p>
    <w:p>
      <w:pPr>
        <w:tabs>
          <w:tab w:val="left" w:pos="1100"/>
        </w:tabs>
        <w:spacing w:after="40" w:line="276"/>
        <w:ind w:left="1100" w:hanging="1100"/>
      </w:pPr>
      <w:r>
        <w:rPr>
          <w:rFonts w:ascii="Arial" w:cs="Arial" w:eastAsia="Arial" w:hAnsi="Arial"/>
          <w:b/>
          <w:bCs/>
          <w:color w:val="154360"/>
          <w:sz w:val="22"/>
          <w:szCs w:val="22"/>
        </w:rPr>
        <w:t xml:space="preserve">TO:	</w:t>
      </w:r>
      <w:r>
        <w:rPr>
          <w:rFonts w:ascii="Arial" w:cs="Arial" w:eastAsia="Arial" w:hAnsi="Arial"/>
          <w:color w:val="1A1A2E"/>
          <w:sz w:val="22"/>
          <w:szCs w:val="22"/>
        </w:rPr>
        <w:t xml:space="preserve">[Board / Leadership Team]</w:t>
      </w:r>
    </w:p>
    <w:p>
      <w:pPr>
        <w:tabs>
          <w:tab w:val="left" w:pos="1100"/>
        </w:tabs>
        <w:spacing w:after="40" w:line="276"/>
        <w:ind w:left="1100" w:hanging="1100"/>
      </w:pPr>
      <w:r>
        <w:rPr>
          <w:rFonts w:ascii="Arial" w:cs="Arial" w:eastAsia="Arial" w:hAnsi="Arial"/>
          <w:b/>
          <w:bCs/>
          <w:color w:val="154360"/>
          <w:sz w:val="22"/>
          <w:szCs w:val="22"/>
        </w:rPr>
        <w:t xml:space="preserve">FROM:	</w:t>
      </w:r>
      <w:r>
        <w:rPr>
          <w:rFonts w:ascii="Arial" w:cs="Arial" w:eastAsia="Arial" w:hAnsi="Arial"/>
          <w:color w:val="1A1A2E"/>
          <w:sz w:val="22"/>
          <w:szCs w:val="22"/>
        </w:rPr>
        <w:t xml:space="preserve">[Name, Title]</w:t>
      </w:r>
    </w:p>
    <w:p>
      <w:pPr>
        <w:tabs>
          <w:tab w:val="left" w:pos="1100"/>
        </w:tabs>
        <w:spacing w:after="40" w:line="276"/>
        <w:ind w:left="1100" w:hanging="1100"/>
      </w:pPr>
      <w:r>
        <w:rPr>
          <w:rFonts w:ascii="Arial" w:cs="Arial" w:eastAsia="Arial" w:hAnsi="Arial"/>
          <w:b/>
          <w:bCs/>
          <w:color w:val="154360"/>
          <w:sz w:val="22"/>
          <w:szCs w:val="22"/>
        </w:rPr>
        <w:t xml:space="preserve">DATE:	</w:t>
      </w:r>
      <w:r>
        <w:rPr>
          <w:rFonts w:ascii="Arial" w:cs="Arial" w:eastAsia="Arial" w:hAnsi="Arial"/>
          <w:color w:val="1A1A2E"/>
          <w:sz w:val="22"/>
          <w:szCs w:val="22"/>
        </w:rPr>
        <w:t xml:space="preserve">[Date]</w:t>
      </w:r>
    </w:p>
    <w:p>
      <w:pPr>
        <w:tabs>
          <w:tab w:val="left" w:pos="1100"/>
        </w:tabs>
        <w:spacing w:after="0" w:line="276"/>
        <w:ind w:left="1100" w:hanging="1100"/>
      </w:pPr>
      <w:r>
        <w:rPr>
          <w:rFonts w:ascii="Arial" w:cs="Arial" w:eastAsia="Arial" w:hAnsi="Arial"/>
          <w:b/>
          <w:bCs/>
          <w:color w:val="154360"/>
          <w:sz w:val="22"/>
          <w:szCs w:val="22"/>
        </w:rPr>
        <w:t xml:space="preserve">RE:	</w:t>
      </w:r>
      <w:r>
        <w:rPr>
          <w:rFonts w:ascii="Arial" w:cs="Arial" w:eastAsia="Arial" w:hAnsi="Arial"/>
          <w:color w:val="1A1A2E"/>
          <w:sz w:val="22"/>
          <w:szCs w:val="22"/>
        </w:rPr>
        <w:t xml:space="preserve">What the 21st Century ROAD to Housing Act means for [Agency Name] (State &amp; Local Housing Finance Agencies)</w:t>
      </w:r>
    </w:p>
    <w:p>
      <w:pPr>
        <w:pBdr>
          <w:bottom w:val="single" w:color="DDE3EA" w:sz="4" w:space="6"/>
        </w:pBdr>
        <w:spacing w:after="160"/>
      </w:pPr>
      <w:r>
        <w:rPr>
          <w:rFonts w:ascii="Arial" w:cs="Arial" w:eastAsia="Arial" w:hAnsi="Arial"/>
          <w:color w:val="1A1A2E"/>
          <w:sz w:val="4"/>
          <w:szCs w:val="4"/>
        </w:rPr>
        <w:t xml:space="preserve"/>
      </w:r>
    </w:p>
    <w:p>
      <w:pPr>
        <w:pStyle w:val="Heading1"/>
        <w:keepNext/>
        <w:spacing w:after="100" w:before="280" w:line="276"/>
      </w:pPr>
      <w:r>
        <w:rPr>
          <w:rFonts w:ascii="Arial" w:cs="Arial" w:eastAsia="Arial" w:hAnsi="Arial"/>
          <w:b/>
          <w:bCs/>
          <w:color w:val="154360"/>
          <w:sz w:val="26"/>
          <w:szCs w:val="26"/>
        </w:rPr>
        <w:t xml:space="preserve">1. Bottom line</w:t>
      </w:r>
    </w:p>
    <w:p>
      <w:pPr>
        <w:spacing w:after="120" w:line="336"/>
      </w:pPr>
      <w:r>
        <w:rPr>
          <w:rFonts w:ascii="Arial" w:cs="Arial" w:eastAsia="Arial" w:hAnsi="Arial"/>
          <w:b/>
          <w:bCs/>
          <w:color w:val="154360"/>
          <w:sz w:val="22"/>
          <w:szCs w:val="22"/>
        </w:rPr>
        <w:t xml:space="preserve">Section 501 permanently authorizes HOME and changes homeownership limits, CHDO rules, inspections, Section 3, and NEPA for HOME — most of it effective now, with two HUD rules due by July 11, 2027.</w:t>
      </w:r>
    </w:p>
    <w:p>
      <w:pPr>
        <w:spacing w:after="120" w:line="336"/>
      </w:pPr>
      <w:r>
        <w:rPr>
          <w:rFonts w:ascii="Arial" w:cs="Arial" w:eastAsia="Arial" w:hAnsi="Arial"/>
          <w:color w:val="1A1A2E"/>
          <w:sz w:val="22"/>
          <w:szCs w:val="22"/>
        </w:rPr>
        <w:t xml:space="preserve">For state and local housing finance agencies, the center of gravity is Section 501, the HOME Investment Partnerships Reauthorization and Reform Act.  It authorizes HOME indefinitely, raises the homeownership income limit to 100% of area median income and the value cap to 110% of area median purchase price, lets state participating jurisdictions inspect to a national standard, exempts small HOME projects from Section 3, writes statutory NEPA exemptions for HOME infill and projects of 15 units or fewer, and lets non-CDBG PJs fund infrastructure next to HOME or LIHTC housing (with Davis-Bacon).</w:t>
      </w:r>
    </w:p>
    <w:p>
      <w:pPr>
        <w:pStyle w:val="Heading1"/>
        <w:keepNext/>
        <w:spacing w:after="100" w:before="280" w:line="276"/>
      </w:pPr>
      <w:r>
        <w:rPr>
          <w:rFonts w:ascii="Arial" w:cs="Arial" w:eastAsia="Arial" w:hAnsi="Arial"/>
          <w:b/>
          <w:bCs/>
          <w:color w:val="154360"/>
          <w:sz w:val="26"/>
          <w:szCs w:val="26"/>
        </w:rPr>
        <w:t xml:space="preserve">2. What the law is</w:t>
      </w:r>
    </w:p>
    <w:p>
      <w:pPr>
        <w:pStyle w:val="ListParagraph"/>
        <w:numPr>
          <w:ilvl w:val="0"/>
          <w:numId w:val="2"/>
        </w:numPr>
        <w:spacing w:after="60" w:line="336"/>
      </w:pPr>
      <w:r>
        <w:rPr>
          <w:rFonts w:ascii="Arial" w:cs="Arial" w:eastAsia="Arial" w:hAnsi="Arial"/>
          <w:color w:val="1A1A2E"/>
          <w:sz w:val="22"/>
          <w:szCs w:val="22"/>
        </w:rPr>
        <w:t xml:space="preserve">21st Century ROAD to Housing Act — H.R. 6644 (119th Congress), Public Law 119-101. </w:t>
      </w:r>
      <w:r>
        <w:rPr>
          <w:rFonts w:ascii="Arial" w:cs="Arial" w:eastAsia="Arial" w:hAnsi="Arial"/>
          <w:color w:val="1A1A2E"/>
          <w:sz w:val="22"/>
          <w:szCs w:val="22"/>
        </w:rPr>
        <w:t xml:space="preserve">Enacted July 11, 2026 — became law without the President’s signature.</w:t>
      </w:r>
    </w:p>
    <w:p>
      <w:pPr>
        <w:pStyle w:val="ListParagraph"/>
        <w:numPr>
          <w:ilvl w:val="0"/>
          <w:numId w:val="2"/>
        </w:numPr>
        <w:spacing w:after="60" w:line="336"/>
      </w:pPr>
      <w:r>
        <w:rPr>
          <w:rFonts w:ascii="Arial" w:cs="Arial" w:eastAsia="Arial" w:hAnsi="Arial"/>
          <w:color w:val="1A1A2E"/>
          <w:sz w:val="22"/>
          <w:szCs w:val="22"/>
        </w:rPr>
        <w:t xml:space="preserve">12 titles and 60 sections (Sec. 1 plus Secs. 101–1202), reforming how existing HUD, USDA, FHA, and VA housing programs run.</w:t>
      </w:r>
    </w:p>
    <w:p>
      <w:pPr>
        <w:pStyle w:val="ListParagraph"/>
        <w:numPr>
          <w:ilvl w:val="0"/>
          <w:numId w:val="2"/>
        </w:numPr>
        <w:spacing w:after="60" w:line="336"/>
      </w:pPr>
      <w:r>
        <w:rPr>
          <w:rFonts w:ascii="Arial" w:cs="Arial" w:eastAsia="Arial" w:hAnsi="Arial"/>
          <w:color w:val="1A1A2E"/>
          <w:sz w:val="22"/>
          <w:szCs w:val="22"/>
        </w:rPr>
        <w:t xml:space="preserve">Final passage: Senate 85–5, June 22, 2026 (Vote 182); House 358–32, June 23, 2026 (Roll Call 224) — cleared for the President.</w:t>
      </w:r>
    </w:p>
    <w:p>
      <w:pPr>
        <w:pStyle w:val="ListParagraph"/>
        <w:numPr>
          <w:ilvl w:val="0"/>
          <w:numId w:val="2"/>
        </w:numPr>
        <w:spacing w:after="60" w:line="336"/>
      </w:pPr>
      <w:r>
        <w:rPr>
          <w:rFonts w:ascii="Arial" w:cs="Arial" w:eastAsia="Arial" w:hAnsi="Arial"/>
          <w:color w:val="1A1A2E"/>
          <w:sz w:val="22"/>
          <w:szCs w:val="22"/>
        </w:rPr>
        <w:t xml:space="preserve">Money: the Act is mostly authorizations and reforms, not appropriations. Sec. 1202 authorizes no additional funds; the largest new authorization is the Innovation Fund at $200M / yr (Sec. 208), not yet appropriated.</w:t>
      </w:r>
    </w:p>
    <w:p>
      <w:pPr>
        <w:pStyle w:val="ListParagraph"/>
        <w:numPr>
          <w:ilvl w:val="0"/>
          <w:numId w:val="2"/>
        </w:numPr>
        <w:spacing w:after="60" w:line="336"/>
      </w:pPr>
      <w:r>
        <w:rPr>
          <w:rFonts w:ascii="Arial" w:cs="Arial" w:eastAsia="Arial" w:hAnsi="Arial"/>
          <w:color w:val="1A1A2E"/>
          <w:sz w:val="22"/>
          <w:szCs w:val="22"/>
        </w:rPr>
        <w:t xml:space="preserve">Clock: the first big deadline cluster lands Jan 7, 2027 — 180 days after enactment — investor ban takes effect; several HUD/USDA deliverables due.</w:t>
      </w:r>
    </w:p>
    <w:p>
      <w:pPr>
        <w:pStyle w:val="Heading1"/>
        <w:keepNext/>
        <w:spacing w:after="100" w:before="280" w:line="276"/>
      </w:pPr>
      <w:r>
        <w:rPr>
          <w:rFonts w:ascii="Arial" w:cs="Arial" w:eastAsia="Arial" w:hAnsi="Arial"/>
          <w:b/>
          <w:bCs/>
          <w:color w:val="154360"/>
          <w:sz w:val="26"/>
          <w:szCs w:val="26"/>
        </w:rPr>
        <w:t xml:space="preserve">3. What changes for us</w:t>
      </w:r>
    </w:p>
    <w:p>
      <w:pPr>
        <w:spacing w:after="120" w:line="336"/>
      </w:pPr>
      <w:r>
        <w:rPr>
          <w:rFonts w:ascii="Arial" w:cs="Arial" w:eastAsia="Arial" w:hAnsi="Arial"/>
          <w:color w:val="1A1A2E"/>
          <w:sz w:val="22"/>
          <w:szCs w:val="22"/>
        </w:rPr>
        <w:t xml:space="preserve">The provisions most relevant to state &amp; local housing finance agencies, in section order. Full plain-language summaries are on the hub.</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150"/>
        <w:gridCol w:w="3030"/>
        <w:gridCol w:w="5900"/>
      </w:tblGrid>
      <w:tr>
        <w:trPr>
          <w:cantSplit/>
          <w:tblHeader/>
        </w:trPr>
        <w:tc>
          <w:tcPr>
            <w:tcW w:type="dxa" w:w="115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Sec.</w:t>
            </w:r>
          </w:p>
        </w:tc>
        <w:tc>
          <w:tcPr>
            <w:tcW w:type="dxa" w:w="303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Provision</w:t>
            </w:r>
          </w:p>
        </w:tc>
        <w:tc>
          <w:tcPr>
            <w:tcW w:type="dxa" w:w="59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What it means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501</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HOME Investment Partnerships Reauthorization and Reform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 top-to-bottom modernization of HOME, the block grant that states and larger localities use for affordable rental and homeownership housing.</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202</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Whole-Home Repairs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a HUD pilot that funds states, localities, and Tribes ("implementing organizations") to run whole-home repair programs: grants to homeowners at or below 80 percent of AMI (or income-eligible for Medicaid, CHIP, SSI, SNAP, or TANF) and loans — which may be forgivable — to small landlords for accessibility,…</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208</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Innovation Fund</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$200 million a year for FY2027–FY2031 for competitive HUD grants to metropolitan cities, urban counties, other local governments, and Tribes that can show an "objective improvement in housing supply growth" under a HUD methodology published for comment at least 90 days before each NOFO.</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209</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Accelerating Home Building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HUD grants to local governments, municipal membership organizations, and Tribes to select pre-reviewed designs — "pattern books" — for small mixed-income housing types of up to 25 units (ADUs, duplexes through fourplexes, cottage courts, townhouses, multiplexes) so builders can get faster, more predictabl…</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210</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Revitalizing Empty Structures Into Desirable Environments (RESIDE)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Adds a new Section 227 to the HOME statute authorizing a FY2027–FY2031 pilot of competitive grants to HOME participating jurisdictions to convert vacant and abandoned commercial and industrial buildings — warehouses, factories, malls, hotels — into "attainable housing." Grants of $1 million to $10 million apply in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211</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Housing Affordability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Roughly quadruples the statutory per-unit mortgage limits for FHA’s multifamily insurance programs (Sections 207, 213, 220, 221(d)(4), 231, and 234) — for example, the Section 207 limits move from $38,025–$85,328 to $167,310–$375,443 — and switches annual indexing to the Census Bureau’s Price Deflator Index of Multi…</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213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Build Now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Ties a slice of CDBG entitlement money to housing production.  Starting with the third full fiscal year after enactment and running through FY2043, HUD computes each metropolitan city’s and urban county’s "housing growth improvement rate" — a normalized index: the last five years’ average annual unit growth minus the prior five years’, divided by the sum…</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105</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FHA Small-Dollar Mortgages</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Authorizes (but does not require) HUD, through the FHA Commissioner, to launch a pilot within one year to expand access to mortgages of $100,000 or less on one- to four-unit principal residences.</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303</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Property Improvement and Manufactured Housing Loan Modernization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Raises FHA Title I loan limits substantially: $75,000 for single-family (including manufactured home) improvement loans; $150,000 per structure and $37,500 per unit for multifamily improvements; $106,405 (single-section) and $195,322 (multi-section) for manufactured homes; $149,782 and $238,699 for home-plus-lot; an…</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304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PRICE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Codifies HUD’s PRICE program as new Section 123 of the Housing and Community Development Act, captioned "Preservation and Reinvestment for Community Enhancement" (HUD’s administrative name for the program does include "Initiative"): competitive grants, subject to appropriations, to resident-owned communities, local…</w:t>
            </w:r>
          </w:p>
        </w:tc>
      </w:tr>
      <w:tr>
        <w:trPr>
          <w:cantSplit/>
        </w:trPr>
        <w:tc>
          <w:tcPr>
            <w:tcW w:type="dxa" w:w="115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405</w:t>
            </w:r>
          </w:p>
        </w:tc>
        <w:tc>
          <w:tcPr>
            <w:tcW w:type="dxa" w:w="303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Choice in Affordable Housing Act</w:t>
            </w:r>
          </w:p>
        </w:tc>
        <w:tc>
          <w:tcPr>
            <w:tcW w:type="dxa" w:w="59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Streamlines Housing Choice Voucher inspections.  A unit in a LIHTC, HOME-assisted, or USDA Rural Housing Service-assisted property that passed a physical inspection in the prior 12 months is deemed to meet HCV inspection requirements if the PHA can obtain the results; HUD may allow remote or video inspections in rural or small areas if they are thorough a…</w:t>
            </w:r>
          </w:p>
        </w:tc>
      </w:tr>
      <w:tr>
        <w:trPr>
          <w:cantSplit/>
        </w:trPr>
        <w:tc>
          <w:tcPr>
            <w:tcW w:type="dxa" w:w="115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Sec. 504</w:t>
            </w:r>
          </w:p>
        </w:tc>
        <w:tc>
          <w:tcPr>
            <w:tcW w:type="dxa" w:w="303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Reforming Disaster Recovery Act</w:t>
            </w:r>
          </w:p>
        </w:tc>
        <w:tc>
          <w:tcPr>
            <w:tcW w:type="dxa" w:w="59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Puts the long-running, ad hoc CDBG Disaster Recovery (CDBG-DR) program on a statutory footing — but only for three years.</w:t>
            </w:r>
          </w:p>
        </w:tc>
      </w:tr>
    </w:tbl>
    <w:p>
      <w:pPr>
        <w:pStyle w:val="Heading1"/>
        <w:keepNext/>
        <w:spacing w:after="100" w:before="280" w:line="276"/>
      </w:pPr>
      <w:r>
        <w:rPr>
          <w:rFonts w:ascii="Arial" w:cs="Arial" w:eastAsia="Arial" w:hAnsi="Arial"/>
          <w:b/>
          <w:bCs/>
          <w:color w:val="154360"/>
          <w:sz w:val="26"/>
          <w:szCs w:val="26"/>
        </w:rPr>
        <w:t xml:space="preserve">4. Deadlines to calendar</w:t>
      </w:r>
    </w:p>
    <w:p>
      <w:pPr>
        <w:spacing w:after="120" w:line="336"/>
      </w:pPr>
      <w:r>
        <w:rPr>
          <w:rFonts w:ascii="Arial" w:cs="Arial" w:eastAsia="Arial" w:hAnsi="Arial"/>
          <w:color w:val="1A1A2E"/>
          <w:sz w:val="22"/>
          <w:szCs w:val="22"/>
        </w:rPr>
        <w:t xml:space="preserve">Statutory dates derived from the July 11, 2026 enactment. Dates the hub already tracks as met are not listed. “Who” is the agency the statute names; add your internal owner in the margin.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400"/>
        <w:gridCol w:w="7280"/>
        <w:gridCol w:w="1400"/>
      </w:tblGrid>
      <w:tr>
        <w:trPr>
          <w:cantSplit/>
          <w:tblHeader/>
        </w:trPr>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Date</w:t>
            </w:r>
          </w:p>
        </w:tc>
        <w:tc>
          <w:tcPr>
            <w:tcW w:type="dxa" w:w="728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Action</w:t>
            </w:r>
          </w:p>
        </w:tc>
        <w:tc>
          <w:tcPr>
            <w:tcW w:type="dxa" w:w="1400"/>
            <w:tcBorders>
              <w:top w:val="single" w:color="DDE3EA" w:sz="4"/>
              <w:left w:val="single" w:color="DDE3EA" w:sz="4"/>
              <w:bottom w:val="single" w:color="DDE3EA" w:sz="4"/>
              <w:right w:val="single" w:color="DDE3EA" w:sz="4"/>
            </w:tcBorders>
            <w:shd w:fill="154360" w:color="auto" w:val="clear"/>
            <w:tcMar>
              <w:top w:type="dxa" w:w="70"/>
              <w:left w:type="dxa" w:w="100"/>
              <w:bottom w:type="dxa" w:w="70"/>
              <w:right w:type="dxa" w:w="100"/>
            </w:tcMar>
            <w:vAlign w:val="top"/>
          </w:tcPr>
          <w:p>
            <w:pPr>
              <w:spacing w:after="0" w:line="264"/>
            </w:pPr>
            <w:r>
              <w:rPr>
                <w:rFonts w:ascii="Arial" w:cs="Arial" w:eastAsia="Arial" w:hAnsi="Arial"/>
                <w:b/>
                <w:bCs/>
                <w:color w:val="FFFFFF"/>
                <w:sz w:val="20"/>
                <w:szCs w:val="20"/>
              </w:rPr>
              <w:t xml:space="preserve">Who</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Sep 9, 2026</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Notify every eligible CDBG recipient of its "housing growth improvement rate" and whether it is above, at, or below the median, and share best-practice guidance on reducing regulatory barriers (Build Now Act). (Sec. 213)</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Complete a review of how Build America, Buy America (BABA) applies to HOME-assisted activities; issue updated guidance within 90 days after the review; report to Congress by the 270-day mark (§501(m)). (Sec. 501)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Publish an advance notice of proposed rulemaking and consult stakeholders for the new Housing Preservation and Revitalization Program (new Housing Act of 1949 §545); an interim final rule follows by the one-year mark.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7,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The Title X restriction on large institutional investors purchasing single-family homes takes effect, along with the related requirements in §1001(b) and (d). (Sec. 1001)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Conduct a study and publish a report to Congress on the Section 521 rental assistance and interest-subsidy program, including totals paid to Section 502 borrowers. (Sec. 502)</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USDA-RHS</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Jan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After consulting FEMA, SBA, and other agencies, publish proposed rules to carry out the new HCDA §124 CDBG-DR authorization (a 3-year program that sunsets July 11, 2029) with a 90-day public comment period; final rules follow at the one-year mark. (Sec. 504)</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Apr 7,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Report to House Financial Services and Senate Banking on the results of the BABA-for-HOME review and the updated guidance issued (§501(m)(3)). (Sec. 501)</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a competitive grant program for planning and implementation activities associated with affordable housing (not construction). (Sec. 207)</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Establish the Innovation Fund: competitive grants to eligible entities that have increased local housing supply, with a public list of eligible entities. (Sec. 208)</w:t>
            </w:r>
          </w:p>
        </w:tc>
        <w:tc>
          <w:tcPr>
            <w:tcW w:type="dxa" w:w="1400"/>
            <w:tcBorders>
              <w:top w:val="single" w:color="DDE3EA" w:sz="4"/>
              <w:left w:val="single" w:color="DDE3EA" w:sz="4"/>
              <w:bottom w:val="single" w:color="DDE3EA" w:sz="4"/>
              <w:right w:val="single" w:color="DDE3EA" w:sz="4"/>
            </w:tcBorders>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r>
        <w:trPr>
          <w:cantSplit/>
        </w:trPr>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bCs/>
                <w:color w:val="1A1A2E"/>
                <w:sz w:val="20"/>
                <w:szCs w:val="20"/>
              </w:rPr>
              <w:t xml:space="preserve">Jul 11, 2027</w:t>
            </w:r>
          </w:p>
        </w:tc>
        <w:tc>
          <w:tcPr>
            <w:tcW w:type="dxa" w:w="728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States submit an initial certification that their laws treat manufactured homes without a permanent chassis in parity with chassis-built homes (financing, title, insurance, manufacture, sale, taxes, transportation, installation); HUD publishes and maintains a Federal Register and website list of states that are curr… (Sec. 301)</w:t>
            </w:r>
          </w:p>
        </w:tc>
        <w:tc>
          <w:tcPr>
            <w:tcW w:type="dxa" w:w="1400"/>
            <w:tcBorders>
              <w:top w:val="single" w:color="DDE3EA" w:sz="4"/>
              <w:left w:val="single" w:color="DDE3EA" w:sz="4"/>
              <w:bottom w:val="single" w:color="DDE3EA" w:sz="4"/>
              <w:right w:val="single" w:color="DDE3EA" w:sz="4"/>
            </w:tcBorders>
            <w:shd w:fill="EFF2F6" w:color="auto" w:val="clear"/>
            <w:tcMar>
              <w:top w:type="dxa" w:w="70"/>
              <w:left w:type="dxa" w:w="100"/>
              <w:bottom w:type="dxa" w:w="70"/>
              <w:right w:type="dxa" w:w="100"/>
            </w:tcMar>
            <w:vAlign w:val="top"/>
          </w:tcPr>
          <w:p>
            <w:pPr>
              <w:spacing w:after="0" w:line="264"/>
            </w:pPr>
            <w:r>
              <w:rPr>
                <w:rFonts w:ascii="Arial" w:cs="Arial" w:eastAsia="Arial" w:hAnsi="Arial"/>
                <w:b w:val="false"/>
                <w:bCs w:val="false"/>
                <w:color w:val="1A1A2E"/>
                <w:sz w:val="20"/>
                <w:szCs w:val="20"/>
              </w:rPr>
              <w:t xml:space="preserve">HUD</w:t>
            </w:r>
          </w:p>
        </w:tc>
      </w:tr>
    </w:tbl>
    <w:p>
      <w:pPr>
        <w:pStyle w:val="Heading1"/>
        <w:keepNext/>
        <w:spacing w:after="100" w:before="280" w:line="276"/>
      </w:pPr>
      <w:r>
        <w:rPr>
          <w:rFonts w:ascii="Arial" w:cs="Arial" w:eastAsia="Arial" w:hAnsi="Arial"/>
          <w:b/>
          <w:bCs/>
          <w:color w:val="154360"/>
          <w:sz w:val="26"/>
          <w:szCs w:val="26"/>
        </w:rPr>
        <w:t xml:space="preserve">5. Recommended actions</w:t>
      </w:r>
    </w:p>
    <w:p>
      <w:pPr>
        <w:spacing w:after="120" w:line="336"/>
      </w:pPr>
      <w:r>
        <w:rPr>
          <w:rFonts w:ascii="Arial" w:cs="Arial" w:eastAsia="Arial" w:hAnsi="Arial"/>
          <w:color w:val="1A1A2E"/>
          <w:sz w:val="22"/>
          <w:szCs w:val="22"/>
        </w:rPr>
        <w:t xml:space="preserve">Grouped by suggested horizon. Assign an owner and a due date to each line you keep.</w:t>
      </w:r>
    </w:p>
    <w:p>
      <w:pPr>
        <w:pStyle w:val="Heading2"/>
        <w:keepNext/>
        <w:spacing w:after="60" w:before="160" w:line="276"/>
      </w:pPr>
      <w:r>
        <w:rPr>
          <w:rFonts w:ascii="Arial" w:cs="Arial" w:eastAsia="Arial" w:hAnsi="Arial"/>
          <w:b/>
          <w:bCs/>
          <w:color w:val="1B4F72"/>
          <w:sz w:val="22"/>
          <w:szCs w:val="22"/>
        </w:rPr>
        <w:t xml:space="preserve">Now</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Comment on HUD’s CDBG-DR formula notice (comments due September 14, 2026) and track the Section 504 rulemaking if you administer disaster-recovery housing programs — the new HCDA Section 124 program sunsets July 11, 2029.</w:t>
      </w:r>
      <w:r>
        <w:rPr>
          <w:rFonts w:ascii="Arial" w:cs="Arial" w:eastAsia="Arial" w:hAnsi="Arial"/>
          <w:color w:val="4B5563"/>
          <w:sz w:val="18"/>
          <w:szCs w:val="18"/>
        </w:rPr>
        <w:t xml:space="preserve">  (Sec. 504)</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Next 90 days</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Update HOME homeownership program guidelines: 100% AMI income limit, 110% of area median purchase price value cap, the new resale-or-recapture language, shared-equity and community land trust options, and waivers for deployed or relocating servicemembers and heirs.</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Rewrite CHDO certification and set-aside procedures: the "significant" board-representation test is gone, a CHDO qualifies when it "materially participates," and set-aside funds uninvested for 24 months roll to the PJ.</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Agree data-sharing with PHAs so LIHTC and HOME inspection results can satisfy voucher inspection requirements, and expect more voucher lease-ups in tax-credit properties.</w:t>
      </w:r>
      <w:r>
        <w:rPr>
          <w:rFonts w:ascii="Arial" w:cs="Arial" w:eastAsia="Arial" w:hAnsi="Arial"/>
          <w:color w:val="4B5563"/>
          <w:sz w:val="18"/>
          <w:szCs w:val="18"/>
        </w:rPr>
        <w:t xml:space="preserve">  (Sec. 405)</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By end of 2026</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Adopt a national inspection standard (such as NSPIRE) for state HOME monitoring, publish results in your performance report, and apply the Section 3 exemption for state-assisted projects of 50 units or fewer.</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Prepare comments and evidence for HUD’s HOME rulemakings due by July 11, 2027 (infrastructure eligibility for non-CDBG PJs; HOME environmental-review coordination) and for the BABA review of HOME due about January 7, 2027.</w:t>
      </w:r>
      <w:r>
        <w:rPr>
          <w:rFonts w:ascii="Arial" w:cs="Arial" w:eastAsia="Arial" w:hAnsi="Arial"/>
          <w:color w:val="4B5563"/>
          <w:sz w:val="18"/>
          <w:szCs w:val="18"/>
        </w:rPr>
        <w:t xml:space="preserve">  (Sec. 501)</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Brief the governor and legislature on the Section 301 manufactured-home parity certification due July 11, 2027 (July 11, 2028 for biennial legislatures) — without it, chassis-less HUD-Code homes cannot be manufactured, installed, or sold in your state — and align HFA manufactured-home lending, title, and insurance rules.</w:t>
      </w:r>
      <w:r>
        <w:rPr>
          <w:rFonts w:ascii="Arial" w:cs="Arial" w:eastAsia="Arial" w:hAnsi="Arial"/>
          <w:color w:val="4B5563"/>
          <w:sz w:val="18"/>
          <w:szCs w:val="18"/>
        </w:rPr>
        <w:t xml:space="preserve">  (Sec. 301)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In 2027</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Inventory USDA Section 514/515 properties maturing within four years and plan preservation deals around the new permanent Section 545 program: 20-year rental-assistance renewals, decoupled RA when restructuring is infeasible, nonprofit transfers without upfront rehab, and a 25% return-on-investment cap.</w:t>
      </w:r>
      <w:r>
        <w:rPr>
          <w:rFonts w:ascii="Arial" w:cs="Arial" w:eastAsia="Arial" w:hAnsi="Arial"/>
          <w:color w:val="4B5563"/>
          <w:sz w:val="18"/>
          <w:szCs w:val="18"/>
        </w:rPr>
        <w:t xml:space="preserve">  (Sec. 502)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Position for the state-eligible pilots and press appropriators to fund them: Whole-Home Repairs (Section 202, one grantee per state), planning and implementation grants (Section 207), PRICE (Section 304), and RESIDE conversion grants (Section 210, if you are a PJ).</w:t>
      </w:r>
      <w:r>
        <w:rPr>
          <w:rFonts w:ascii="Arial" w:cs="Arial" w:eastAsia="Arial" w:hAnsi="Arial"/>
          <w:color w:val="4B5563"/>
          <w:sz w:val="18"/>
          <w:szCs w:val="18"/>
        </w:rPr>
        <w:t xml:space="preserve">  (Sec. 202, 207, 304, 210, 1202)</w:t>
      </w:r>
      <w:r>
        <w:rPr>
          <w:rFonts w:ascii="Arial" w:cs="Arial" w:eastAsia="Arial" w:hAnsi="Arial"/>
          <w:color w:val="A66A15"/>
          <w:sz w:val="18"/>
          <w:szCs w:val="18"/>
        </w:rPr>
        <w:t xml:space="preserve">  [Owner]  [Due]</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Ready your HUD-approved counseling network for performance reviews and prepare DPA and lender networks for the FHA small-dollar pilot (mortgages of $100,000 or less) and for any HOME first-time-buyer funds flowing from Section 1001 penalties.</w:t>
      </w:r>
      <w:r>
        <w:rPr>
          <w:rFonts w:ascii="Arial" w:cs="Arial" w:eastAsia="Arial" w:hAnsi="Arial"/>
          <w:color w:val="4B5563"/>
          <w:sz w:val="18"/>
          <w:szCs w:val="18"/>
        </w:rPr>
        <w:t xml:space="preserve">  (Sec. 101, 105, 1001)</w:t>
      </w:r>
      <w:r>
        <w:rPr>
          <w:rFonts w:ascii="Arial" w:cs="Arial" w:eastAsia="Arial" w:hAnsi="Arial"/>
          <w:color w:val="A66A15"/>
          <w:sz w:val="18"/>
          <w:szCs w:val="18"/>
        </w:rPr>
        <w:t xml:space="preserve">  [Owner]  [Due]</w:t>
      </w:r>
    </w:p>
    <w:p>
      <w:pPr>
        <w:pStyle w:val="Heading2"/>
        <w:keepNext/>
        <w:spacing w:after="60" w:before="160" w:line="276"/>
      </w:pPr>
      <w:r>
        <w:rPr>
          <w:rFonts w:ascii="Arial" w:cs="Arial" w:eastAsia="Arial" w:hAnsi="Arial"/>
          <w:b/>
          <w:bCs/>
          <w:color w:val="1B4F72"/>
          <w:sz w:val="22"/>
          <w:szCs w:val="22"/>
        </w:rPr>
        <w:t xml:space="preserve">Watch</w:t>
      </w:r>
    </w:p>
    <w:p>
      <w:pPr>
        <w:tabs>
          <w:tab w:val="left" w:pos="360"/>
        </w:tabs>
        <w:spacing w:after="60" w:line="336"/>
        <w:ind w:left="360" w:hanging="360"/>
      </w:pPr>
      <w:r>
        <w:rPr>
          <w:rFonts w:ascii="Arial" w:cs="Arial" w:eastAsia="Arial" w:hAnsi="Arial"/>
          <w:color w:val="1B4F72"/>
          <w:sz w:val="22"/>
          <w:szCs w:val="22"/>
        </w:rPr>
        <w:t xml:space="preserve">☐	</w:t>
      </w:r>
      <w:r>
        <w:rPr>
          <w:rFonts w:ascii="Arial" w:cs="Arial" w:eastAsia="Arial" w:hAnsi="Arial"/>
          <w:color w:val="1A1A2E"/>
          <w:sz w:val="22"/>
          <w:szCs w:val="22"/>
        </w:rPr>
        <w:t xml:space="preserve">Re-underwrite FHA-insured multifamily deals against the new statutory per-unit limits (roughly four times the old figures, indexed to the Census multifamily construction deflator) and watch for HUD’s notice reconciling them with current indexed limits.</w:t>
      </w:r>
      <w:r>
        <w:rPr>
          <w:rFonts w:ascii="Arial" w:cs="Arial" w:eastAsia="Arial" w:hAnsi="Arial"/>
          <w:color w:val="4B5563"/>
          <w:sz w:val="18"/>
          <w:szCs w:val="18"/>
        </w:rPr>
        <w:t xml:space="preserve">  (Sec. 211)</w:t>
      </w:r>
      <w:r>
        <w:rPr>
          <w:rFonts w:ascii="Arial" w:cs="Arial" w:eastAsia="Arial" w:hAnsi="Arial"/>
          <w:color w:val="A66A15"/>
          <w:sz w:val="18"/>
          <w:szCs w:val="18"/>
        </w:rPr>
        <w:t xml:space="preserve">  [Owner]  [Due]</w:t>
      </w:r>
    </w:p>
    <w:p>
      <w:pPr>
        <w:pStyle w:val="Heading1"/>
        <w:keepNext/>
        <w:spacing w:after="100" w:before="280" w:line="276"/>
      </w:pPr>
      <w:r>
        <w:rPr>
          <w:rFonts w:ascii="Arial" w:cs="Arial" w:eastAsia="Arial" w:hAnsi="Arial"/>
          <w:b/>
          <w:bCs/>
          <w:color w:val="154360"/>
          <w:sz w:val="26"/>
          <w:szCs w:val="26"/>
        </w:rPr>
        <w:t xml:space="preserve">6. Watch-outs</w:t>
      </w:r>
    </w:p>
    <w:p>
      <w:pPr>
        <w:pStyle w:val="ListParagraph"/>
        <w:numPr>
          <w:ilvl w:val="0"/>
          <w:numId w:val="2"/>
        </w:numPr>
        <w:spacing w:after="60" w:line="336"/>
      </w:pPr>
      <w:r>
        <w:rPr>
          <w:rFonts w:ascii="Arial" w:cs="Arial" w:eastAsia="Arial" w:hAnsi="Arial"/>
          <w:color w:val="1A1A2E"/>
          <w:sz w:val="22"/>
          <w:szCs w:val="22"/>
        </w:rPr>
        <w:t xml:space="preserve">LIHTC, the national Housing Trust Fund, HFA bond authority, and credit scoring are not in the Act; the 2025 LIHTC expansion came from a different law.</w:t>
      </w:r>
    </w:p>
    <w:p>
      <w:pPr>
        <w:pStyle w:val="ListParagraph"/>
        <w:numPr>
          <w:ilvl w:val="0"/>
          <w:numId w:val="2"/>
        </w:numPr>
        <w:spacing w:after="60" w:line="336"/>
      </w:pPr>
      <w:r>
        <w:rPr>
          <w:rFonts w:ascii="Arial" w:cs="Arial" w:eastAsia="Arial" w:hAnsi="Arial"/>
          <w:color w:val="1A1A2E"/>
          <w:sz w:val="22"/>
          <w:szCs w:val="22"/>
        </w:rPr>
        <w:t xml:space="preserve">The Innovation Fund (Section 208), pattern-book grants (Section 209) and Build Now (Section 213) do not include states or HFAs as eligible applicants — your role there is coordination and gap financing.</w:t>
      </w:r>
    </w:p>
    <w:p>
      <w:pPr>
        <w:pStyle w:val="ListParagraph"/>
        <w:numPr>
          <w:ilvl w:val="0"/>
          <w:numId w:val="2"/>
        </w:numPr>
        <w:spacing w:after="60" w:line="336"/>
      </w:pPr>
      <w:r>
        <w:rPr>
          <w:rFonts w:ascii="Arial" w:cs="Arial" w:eastAsia="Arial" w:hAnsi="Arial"/>
          <w:color w:val="1A1A2E"/>
          <w:sz w:val="22"/>
          <w:szCs w:val="22"/>
        </w:rPr>
        <w:t xml:space="preserve">No BABA exemption made it into the final text — only a HUD review and updated guidance. The Senate’s administrative-cost provision did survive: §501(t)(1) strikes NAHA §220(b)(2), so contributions for administrative expenses may now be recognized toward the HOME match.</w:t>
      </w:r>
    </w:p>
    <w:p>
      <w:pPr>
        <w:pStyle w:val="ListParagraph"/>
        <w:numPr>
          <w:ilvl w:val="0"/>
          <w:numId w:val="2"/>
        </w:numPr>
        <w:spacing w:after="60" w:line="336"/>
      </w:pPr>
      <w:r>
        <w:rPr>
          <w:rFonts w:ascii="Arial" w:cs="Arial" w:eastAsia="Arial" w:hAnsi="Arial"/>
          <w:color w:val="1A1A2E"/>
          <w:sz w:val="22"/>
          <w:szCs w:val="22"/>
        </w:rPr>
        <w:t xml:space="preserve">Section 501 also raises compliance stakes: HUD may deny reallocations to and reduce payments for noncompliant PJs through the affordability period.</w:t>
      </w:r>
    </w:p>
    <w:p>
      <w:pPr>
        <w:pStyle w:val="ListParagraph"/>
        <w:numPr>
          <w:ilvl w:val="0"/>
          <w:numId w:val="2"/>
        </w:numPr>
        <w:spacing w:after="60" w:line="336"/>
      </w:pPr>
      <w:r>
        <w:rPr>
          <w:rFonts w:ascii="Arial" w:cs="Arial" w:eastAsia="Arial" w:hAnsi="Arial"/>
          <w:color w:val="1A1A2E"/>
          <w:sz w:val="22"/>
          <w:szCs w:val="22"/>
        </w:rPr>
        <w:t xml:space="preserve">The RESIDE funding trigger described in some summaries ($1.35 billion in HOME appropriations) does not appear in the enacted text — the statute sets grant sizes only when at least $100 million is appropriated.</w:t>
      </w:r>
    </w:p>
    <w:p>
      <w:pPr>
        <w:pStyle w:val="ListParagraph"/>
        <w:numPr>
          <w:ilvl w:val="0"/>
          <w:numId w:val="2"/>
        </w:numPr>
        <w:spacing w:after="60" w:line="336"/>
      </w:pPr>
      <w:r>
        <w:rPr>
          <w:rFonts w:ascii="Arial" w:cs="Arial" w:eastAsia="Arial" w:hAnsi="Arial"/>
          <w:color w:val="1A1A2E"/>
          <w:sz w:val="22"/>
          <w:szCs w:val="22"/>
        </w:rPr>
        <w:t xml:space="preserve">Whether HUD treats the HOME NEPA exemptions and voucher inspection parity as operative before it issues rules or notices was unconfirmed as of August 29, 2026.</w:t>
      </w:r>
    </w:p>
    <w:p>
      <w:pPr>
        <w:pStyle w:val="Heading1"/>
        <w:keepNext/>
        <w:spacing w:after="100" w:before="280" w:line="276"/>
      </w:pPr>
      <w:r>
        <w:rPr>
          <w:rFonts w:ascii="Arial" w:cs="Arial" w:eastAsia="Arial" w:hAnsi="Arial"/>
          <w:b/>
          <w:bCs/>
          <w:color w:val="154360"/>
          <w:sz w:val="26"/>
          <w:szCs w:val="26"/>
        </w:rPr>
        <w:t xml:space="preserve">7. Questions we still have</w:t>
      </w:r>
    </w:p>
    <w:p>
      <w:pPr>
        <w:keepNext/>
        <w:spacing w:after="120" w:line="336"/>
      </w:pPr>
      <w:r>
        <w:rPr>
          <w:rFonts w:ascii="Arial" w:cs="Arial" w:eastAsia="Arial" w:hAnsi="Arial"/>
          <w:color w:val="1A1A2E"/>
          <w:sz w:val="22"/>
          <w:szCs w:val="22"/>
        </w:rPr>
        <w:t xml:space="preserve">Open items the hub could not pin down as of its last review. Track them before relying on the underlying provision.</w:t>
      </w:r>
    </w:p>
    <w:p>
      <w:pPr>
        <w:pStyle w:val="ListParagraph"/>
        <w:numPr>
          <w:ilvl w:val="0"/>
          <w:numId w:val="2"/>
        </w:numPr>
        <w:spacing w:after="60" w:line="336"/>
      </w:pPr>
      <w:r>
        <w:rPr>
          <w:rFonts w:ascii="Arial" w:cs="Arial" w:eastAsia="Arial" w:hAnsi="Arial"/>
          <w:color w:val="1A1A2E"/>
          <w:sz w:val="22"/>
          <w:szCs w:val="22"/>
        </w:rPr>
        <w:t xml:space="preserve">Whether §501(e)’s new HOME infrastructure authority excludes every state participating jurisdiction.</w:t>
      </w:r>
    </w:p>
    <w:p>
      <w:pPr>
        <w:pStyle w:val="ListParagraph"/>
        <w:numPr>
          <w:ilvl w:val="0"/>
          <w:numId w:val="2"/>
        </w:numPr>
        <w:spacing w:after="60" w:line="336"/>
      </w:pPr>
      <w:r>
        <w:rPr>
          <w:rFonts w:ascii="Arial" w:cs="Arial" w:eastAsia="Arial" w:hAnsi="Arial"/>
          <w:color w:val="1A1A2E"/>
          <w:sz w:val="22"/>
          <w:szCs w:val="22"/>
        </w:rPr>
        <w:t xml:space="preserve">Whether §501(l)’s NEPA categorical exemptions are self-executing on enactment or await the July 2027 rule.</w:t>
      </w:r>
    </w:p>
    <w:p>
      <w:pPr>
        <w:pStyle w:val="ListParagraph"/>
        <w:numPr>
          <w:ilvl w:val="0"/>
          <w:numId w:val="2"/>
        </w:numPr>
        <w:spacing w:after="60" w:line="336"/>
      </w:pPr>
      <w:r>
        <w:rPr>
          <w:rFonts w:ascii="Arial" w:cs="Arial" w:eastAsia="Arial" w:hAnsi="Arial"/>
          <w:color w:val="1A1A2E"/>
          <w:sz w:val="22"/>
          <w:szCs w:val="22"/>
        </w:rPr>
        <w:t xml:space="preserve">Whether HUD intends to carry the §501 HOME rules on its existing HOME rulemaking (Docket FR-6144 / RIN 2506-AC50), whose comment window has already closed.</w:t>
      </w:r>
    </w:p>
    <w:p>
      <w:pPr>
        <w:pStyle w:val="ListParagraph"/>
        <w:numPr>
          <w:ilvl w:val="0"/>
          <w:numId w:val="2"/>
        </w:numPr>
        <w:spacing w:after="60" w:line="336"/>
      </w:pPr>
      <w:r>
        <w:rPr>
          <w:rFonts w:ascii="Arial" w:cs="Arial" w:eastAsia="Arial" w:hAnsi="Arial"/>
          <w:color w:val="1A1A2E"/>
          <w:sz w:val="22"/>
          <w:szCs w:val="22"/>
        </w:rPr>
        <w:t xml:space="preserve">Whether FY2027 appropriations will fund the Innovation Fund (§208, $200 million authorized), planning grants (§207), Whole-Home Repairs (§202), RESIDE (§210), PRICE (§304), the temperature-sensor pilot (§106), or the Long-Term Disaster Recovery Fund (§504).</w:t>
      </w:r>
    </w:p>
    <w:p>
      <w:pPr>
        <w:pStyle w:val="Heading1"/>
        <w:keepNext/>
        <w:spacing w:after="100" w:before="280" w:line="276"/>
      </w:pPr>
      <w:r>
        <w:rPr>
          <w:rFonts w:ascii="Arial" w:cs="Arial" w:eastAsia="Arial" w:hAnsi="Arial"/>
          <w:b/>
          <w:bCs/>
          <w:color w:val="154360"/>
          <w:sz w:val="26"/>
          <w:szCs w:val="26"/>
        </w:rPr>
        <w:t xml:space="preserve">8. Sources</w:t>
      </w:r>
    </w:p>
    <w:p>
      <w:pPr>
        <w:pStyle w:val="ListParagraph"/>
        <w:keepNext w:val="false"/>
        <w:numPr>
          <w:ilvl w:val="0"/>
          <w:numId w:val="2"/>
        </w:numPr>
        <w:spacing w:after="40" w:line="288"/>
      </w:pPr>
      <w:r>
        <w:rPr>
          <w:rFonts w:ascii="Arial" w:cs="Arial" w:eastAsia="Arial" w:hAnsi="Arial"/>
          <w:b/>
          <w:bCs/>
          <w:color w:val="1A1A2E"/>
          <w:sz w:val="22"/>
          <w:szCs w:val="22"/>
        </w:rPr>
        <w:t xml:space="preserve">AI Housers hub — </w:t>
      </w:r>
      <w:r>
        <w:rPr>
          <w:rFonts w:ascii="Arial" w:cs="Arial" w:eastAsia="Arial" w:hAnsi="Arial"/>
          <w:color w:val="0A66C2"/>
          <w:sz w:val="22"/>
          <w:szCs w:val="22"/>
        </w:rPr>
        <w:t xml:space="preserve">https://aihousers.com/road-to-housing/for/hfa</w:t>
      </w:r>
    </w:p>
    <w:p>
      <w:pPr>
        <w:pStyle w:val="ListParagraph"/>
        <w:keepNext w:val="false"/>
        <w:numPr>
          <w:ilvl w:val="0"/>
          <w:numId w:val="2"/>
        </w:numPr>
        <w:spacing w:after="40" w:line="288"/>
      </w:pPr>
      <w:r>
        <w:rPr>
          <w:rFonts w:ascii="Arial" w:cs="Arial" w:eastAsia="Arial" w:hAnsi="Arial"/>
          <w:color w:val="1A1A2E"/>
          <w:sz w:val="22"/>
          <w:szCs w:val="22"/>
        </w:rPr>
        <w:t xml:space="preserve">H.R. 6644 — Enrolled bill text (21st Century ROAD to Housing Act) (GovInfo (GPO)) — </w:t>
      </w:r>
      <w:r>
        <w:rPr>
          <w:rFonts w:ascii="Arial" w:cs="Arial" w:eastAsia="Arial" w:hAnsi="Arial"/>
          <w:color w:val="0A66C2"/>
          <w:sz w:val="16"/>
          <w:szCs w:val="16"/>
        </w:rPr>
        <w:t xml:space="preserve">https://www.govinfo.gov/content/pkg/BILLS-119hr6644enr/html/BILLS-119hr6644enr.htm</w:t>
      </w:r>
    </w:p>
    <w:p>
      <w:pPr>
        <w:pStyle w:val="ListParagraph"/>
        <w:keepNext w:val="false"/>
        <w:numPr>
          <w:ilvl w:val="0"/>
          <w:numId w:val="2"/>
        </w:numPr>
        <w:spacing w:after="40" w:line="288"/>
      </w:pPr>
      <w:r>
        <w:rPr>
          <w:rFonts w:ascii="Arial" w:cs="Arial" w:eastAsia="Arial" w:hAnsi="Arial"/>
          <w:color w:val="1A1A2E"/>
          <w:sz w:val="22"/>
          <w:szCs w:val="22"/>
        </w:rPr>
        <w:t xml:space="preserve">BPC — What’s in the 21st Century ROAD to Housing Act? (Bipartisan Policy Center) — </w:t>
      </w:r>
      <w:r>
        <w:rPr>
          <w:rFonts w:ascii="Arial" w:cs="Arial" w:eastAsia="Arial" w:hAnsi="Arial"/>
          <w:color w:val="0A66C2"/>
          <w:sz w:val="16"/>
          <w:szCs w:val="16"/>
        </w:rPr>
        <w:t xml:space="preserve">https://bipartisanpolicy.org/explainer/whats-in-the-21st-century-road-to-housing-act/</w:t>
      </w:r>
    </w:p>
    <w:p>
      <w:pPr>
        <w:pStyle w:val="ListParagraph"/>
        <w:keepNext w:val="false"/>
        <w:numPr>
          <w:ilvl w:val="0"/>
          <w:numId w:val="2"/>
        </w:numPr>
        <w:spacing w:after="40" w:line="288"/>
      </w:pPr>
      <w:r>
        <w:rPr>
          <w:rFonts w:ascii="Arial" w:cs="Arial" w:eastAsia="Arial" w:hAnsi="Arial"/>
          <w:color w:val="1A1A2E"/>
          <w:sz w:val="22"/>
          <w:szCs w:val="22"/>
        </w:rPr>
        <w:t xml:space="preserve">BPC — 21st Century ROAD to Housing Act Implementation Tracker (Bipartisan Policy Center) — </w:t>
      </w:r>
      <w:r>
        <w:rPr>
          <w:rFonts w:ascii="Arial" w:cs="Arial" w:eastAsia="Arial" w:hAnsi="Arial"/>
          <w:color w:val="0A66C2"/>
          <w:sz w:val="16"/>
          <w:szCs w:val="16"/>
        </w:rPr>
        <w:t xml:space="preserve">https://bipartisanpolicy.org/hub/21st-century-road-to-housing-act-implementation-tracker/</w:t>
      </w:r>
    </w:p>
    <w:p>
      <w:pPr>
        <w:pStyle w:val="ListParagraph"/>
        <w:keepNext w:val="false"/>
        <w:numPr>
          <w:ilvl w:val="0"/>
          <w:numId w:val="2"/>
        </w:numPr>
        <w:spacing w:after="40" w:line="288"/>
      </w:pPr>
      <w:r>
        <w:rPr>
          <w:rFonts w:ascii="Arial" w:cs="Arial" w:eastAsia="Arial" w:hAnsi="Arial"/>
          <w:color w:val="1A1A2E"/>
          <w:sz w:val="22"/>
          <w:szCs w:val="22"/>
        </w:rPr>
        <w:t xml:space="preserve">NLIHC — 21st Century ROAD to Housing Act: Impacts on Low-Income Households (July 2026) (National Low Income Housing Coalition) — </w:t>
      </w:r>
      <w:r>
        <w:rPr>
          <w:rFonts w:ascii="Arial" w:cs="Arial" w:eastAsia="Arial" w:hAnsi="Arial"/>
          <w:color w:val="0A66C2"/>
          <w:sz w:val="16"/>
          <w:szCs w:val="16"/>
        </w:rPr>
        <w:t xml:space="preserve">https://nlihc.org/sites/default/files/ROAD_Impacts_071026.pdf</w:t>
      </w:r>
    </w:p>
    <w:p>
      <w:pPr>
        <w:pStyle w:val="ListParagraph"/>
        <w:keepNext w:val="false"/>
        <w:numPr>
          <w:ilvl w:val="0"/>
          <w:numId w:val="2"/>
        </w:numPr>
        <w:spacing w:after="40" w:line="288"/>
      </w:pPr>
      <w:r>
        <w:rPr>
          <w:rFonts w:ascii="Arial" w:cs="Arial" w:eastAsia="Arial" w:hAnsi="Arial"/>
          <w:color w:val="1A1A2E"/>
          <w:sz w:val="22"/>
          <w:szCs w:val="22"/>
        </w:rPr>
        <w:t xml:space="preserve">Fact sheet — oversight and accountability (Senate Banking Committee) — </w:t>
      </w:r>
      <w:r>
        <w:rPr>
          <w:rFonts w:ascii="Arial" w:cs="Arial" w:eastAsia="Arial" w:hAnsi="Arial"/>
          <w:color w:val="0A66C2"/>
          <w:sz w:val="16"/>
          <w:szCs w:val="16"/>
        </w:rPr>
        <w:t xml:space="preserve">https://www.banking.senate.gov/imo/media/doc/road_oversight.pdf</w:t>
      </w:r>
    </w:p>
    <w:p>
      <w:pPr>
        <w:pStyle w:val="ListParagraph"/>
        <w:keepNext w:val="false"/>
        <w:numPr>
          <w:ilvl w:val="0"/>
          <w:numId w:val="2"/>
        </w:numPr>
        <w:spacing w:after="40" w:line="288"/>
      </w:pPr>
      <w:r>
        <w:rPr>
          <w:rFonts w:ascii="Arial" w:cs="Arial" w:eastAsia="Arial" w:hAnsi="Arial"/>
          <w:color w:val="1A1A2E"/>
          <w:sz w:val="22"/>
          <w:szCs w:val="22"/>
        </w:rPr>
        <w:t xml:space="preserve">HUD notice on the CDBG-DR allocation formula (Docket FR-6337-N-02) (HUD / Federal Register) — </w:t>
      </w:r>
      <w:r>
        <w:rPr>
          <w:rFonts w:ascii="Arial" w:cs="Arial" w:eastAsia="Arial" w:hAnsi="Arial"/>
          <w:color w:val="0A66C2"/>
          <w:sz w:val="16"/>
          <w:szCs w:val="16"/>
        </w:rPr>
        <w:t xml:space="preserve">https://www.federalregister.gov/documents/2026/08/13/2026-16499/notice-on-community-development-block-grant-disaster-recovery-cdbg-dr-formula</w:t>
      </w:r>
    </w:p>
    <w:p>
      <w:pPr>
        <w:pStyle w:val="ListParagraph"/>
        <w:keepNext w:val="false"/>
        <w:numPr>
          <w:ilvl w:val="0"/>
          <w:numId w:val="2"/>
        </w:numPr>
        <w:spacing w:after="40" w:line="288"/>
      </w:pPr>
      <w:r>
        <w:rPr>
          <w:rFonts w:ascii="Arial" w:cs="Arial" w:eastAsia="Arial" w:hAnsi="Arial"/>
          <w:color w:val="1A1A2E"/>
          <w:sz w:val="22"/>
          <w:szCs w:val="22"/>
        </w:rPr>
        <w:t xml:space="preserve">BPC — FY2027 HUD appropriations tracker (Bipartisan Policy Center) — </w:t>
      </w:r>
      <w:r>
        <w:rPr>
          <w:rFonts w:ascii="Arial" w:cs="Arial" w:eastAsia="Arial" w:hAnsi="Arial"/>
          <w:color w:val="0A66C2"/>
          <w:sz w:val="16"/>
          <w:szCs w:val="16"/>
        </w:rPr>
        <w:t xml:space="preserve">https://bipartisanpolicy.org/explainer/fy2027-hud-appropriations-tracker/</w:t>
      </w:r>
    </w:p>
    <w:p>
      <w:pPr>
        <w:pStyle w:val="ListParagraph"/>
        <w:keepNext w:val="false"/>
        <w:numPr>
          <w:ilvl w:val="0"/>
          <w:numId w:val="2"/>
        </w:numPr>
        <w:spacing w:after="40" w:line="288"/>
      </w:pPr>
      <w:r>
        <w:rPr>
          <w:rFonts w:ascii="Arial" w:cs="Arial" w:eastAsia="Arial" w:hAnsi="Arial"/>
          <w:color w:val="1A1A2E"/>
          <w:sz w:val="22"/>
          <w:szCs w:val="22"/>
        </w:rPr>
        <w:t xml:space="preserve">NAAHL — ROADmap: Implementation Guide and action matrix (National Association of Affordable Housing Lenders) — </w:t>
      </w:r>
      <w:r>
        <w:rPr>
          <w:rFonts w:ascii="Arial" w:cs="Arial" w:eastAsia="Arial" w:hAnsi="Arial"/>
          <w:color w:val="0A66C2"/>
          <w:sz w:val="16"/>
          <w:szCs w:val="16"/>
        </w:rPr>
        <w:t xml:space="preserve">https://naahl.org/thecenter/roadmap</w:t>
      </w:r>
    </w:p>
    <w:p>
      <w:pPr>
        <w:pStyle w:val="ListParagraph"/>
        <w:keepNext w:val="false"/>
        <w:numPr>
          <w:ilvl w:val="0"/>
          <w:numId w:val="2"/>
        </w:numPr>
        <w:spacing w:after="40" w:line="288"/>
      </w:pPr>
      <w:r>
        <w:rPr>
          <w:rFonts w:ascii="Arial" w:cs="Arial" w:eastAsia="Arial" w:hAnsi="Arial"/>
          <w:color w:val="1A1A2E"/>
          <w:sz w:val="22"/>
          <w:szCs w:val="22"/>
        </w:rPr>
        <w:t xml:space="preserve">NAAHL ROADmap — full implementation guide (PDF) (National Association of Affordable Housing Lenders) — </w:t>
      </w:r>
      <w:r>
        <w:rPr>
          <w:rFonts w:ascii="Arial" w:cs="Arial" w:eastAsia="Arial" w:hAnsi="Arial"/>
          <w:color w:val="0A66C2"/>
          <w:sz w:val="16"/>
          <w:szCs w:val="16"/>
        </w:rPr>
        <w:t xml:space="preserve">https://naahl.org/s/21CRoad_ImplementationGuide_072026.pdf</w:t>
      </w:r>
    </w:p>
    <w:p>
      <w:pPr>
        <w:pStyle w:val="ListParagraph"/>
        <w:keepNext w:val="false"/>
        <w:numPr>
          <w:ilvl w:val="0"/>
          <w:numId w:val="2"/>
        </w:numPr>
        <w:spacing w:after="40" w:line="288"/>
      </w:pPr>
      <w:r>
        <w:rPr>
          <w:rFonts w:ascii="Arial" w:cs="Arial" w:eastAsia="Arial" w:hAnsi="Arial"/>
          <w:color w:val="1A1A2E"/>
          <w:sz w:val="22"/>
          <w:szCs w:val="22"/>
        </w:rPr>
        <w:t xml:space="preserve">NCSHA — Policy Brief Series: Unpacking the 21st Century ROAD to Housing Act (National Council of State Housing Agencies) — </w:t>
      </w:r>
      <w:r>
        <w:rPr>
          <w:rFonts w:ascii="Arial" w:cs="Arial" w:eastAsia="Arial" w:hAnsi="Arial"/>
          <w:color w:val="0A66C2"/>
          <w:sz w:val="16"/>
          <w:szCs w:val="16"/>
        </w:rPr>
        <w:t xml:space="preserve">https://www.ncsha.org/resource/policy-brief-series-unpacking-the-21st-century-road-to-housing-act/</w:t>
      </w:r>
    </w:p>
    <w:p>
      <w:pPr>
        <w:pStyle w:val="ListParagraph"/>
        <w:keepNext/>
        <w:numPr>
          <w:ilvl w:val="0"/>
          <w:numId w:val="2"/>
        </w:numPr>
        <w:spacing w:after="40" w:line="288"/>
      </w:pPr>
      <w:r>
        <w:rPr>
          <w:rFonts w:ascii="Arial" w:cs="Arial" w:eastAsia="Arial" w:hAnsi="Arial"/>
          <w:color w:val="1A1A2E"/>
          <w:sz w:val="22"/>
          <w:szCs w:val="22"/>
        </w:rPr>
        <w:t xml:space="preserve">NCSHA — Key changes to HOME in the 21st Century ROAD to Housing Act (National Council of State Housing Agencies) — </w:t>
      </w:r>
      <w:r>
        <w:rPr>
          <w:rFonts w:ascii="Arial" w:cs="Arial" w:eastAsia="Arial" w:hAnsi="Arial"/>
          <w:color w:val="0A66C2"/>
          <w:sz w:val="16"/>
          <w:szCs w:val="16"/>
        </w:rPr>
        <w:t xml:space="preserve">https://www.ncsha.org/blog/ncsha-details-key-changes-to-home-in-the-21st-century-road-to-housing-act/</w:t>
      </w:r>
    </w:p>
    <w:p>
      <w:pPr>
        <w:pStyle w:val="ListParagraph"/>
        <w:keepNext/>
        <w:numPr>
          <w:ilvl w:val="0"/>
          <w:numId w:val="2"/>
        </w:numPr>
        <w:spacing w:after="40" w:line="288"/>
      </w:pPr>
      <w:r>
        <w:rPr>
          <w:rFonts w:ascii="Arial" w:cs="Arial" w:eastAsia="Arial" w:hAnsi="Arial"/>
          <w:color w:val="1A1A2E"/>
          <w:sz w:val="22"/>
          <w:szCs w:val="22"/>
        </w:rPr>
        <w:t xml:space="preserve">NCSHA applauds enactment of the 21st Century ROAD to Housing Act (National Council of State Housing Agencies) — </w:t>
      </w:r>
      <w:r>
        <w:rPr>
          <w:rFonts w:ascii="Arial" w:cs="Arial" w:eastAsia="Arial" w:hAnsi="Arial"/>
          <w:color w:val="0A66C2"/>
          <w:sz w:val="16"/>
          <w:szCs w:val="16"/>
        </w:rPr>
        <w:t xml:space="preserve">https://www.ncsha.org/ncsha-news/ncsha-applauds-enactment-of-21st-century-road-to-housing-act/</w:t>
      </w:r>
    </w:p>
    <w:p>
      <w:pPr>
        <w:keepNext/>
        <w:pBdr>
          <w:top w:val="single" w:color="DDE3EA" w:sz="4" w:space="8"/>
        </w:pBdr>
        <w:spacing w:after="80" w:before="140" w:line="336"/>
      </w:pPr>
      <w:r>
        <w:rPr>
          <w:rFonts w:ascii="Arial" w:cs="Arial" w:eastAsia="Arial" w:hAnsi="Arial"/>
          <w:b/>
          <w:bCs/>
          <w:i/>
          <w:iCs/>
          <w:color w:val="154360"/>
          <w:sz w:val="22"/>
          <w:szCs w:val="22"/>
        </w:rPr>
        <w:t xml:space="preserve">Make it yours: </w:t>
      </w:r>
      <w:r>
        <w:rPr>
          <w:rFonts w:ascii="Arial" w:cs="Arial" w:eastAsia="Arial" w:hAnsi="Arial"/>
          <w:i/>
          <w:iCs/>
          <w:color w:val="1A1A2E"/>
          <w:sz w:val="22"/>
          <w:szCs w:val="22"/>
        </w:rPr>
        <w:t xml:space="preserve">replace the bracketed placeholders, trim rows that don’t apply, and add your local numbers.</w:t>
      </w:r>
    </w:p>
    <w:p>
      <w:pPr>
        <w:keepNext/>
        <w:spacing w:after="60" w:line="252"/>
      </w:pPr>
      <w:r>
        <w:rPr>
          <w:rFonts w:ascii="Arial" w:cs="Arial" w:eastAsia="Arial" w:hAnsi="Arial"/>
          <w:color w:val="4B5563"/>
          <w:sz w:val="17"/>
          <w:szCs w:val="17"/>
        </w:rPr>
        <w:t xml:space="preserve">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w:t>
      </w:r>
    </w:p>
    <w:p>
      <w:pPr>
        <w:keepNext/>
        <w:spacing w:after="60" w:line="252"/>
      </w:pPr>
      <w:r>
        <w:rPr>
          <w:rFonts w:ascii="Arial" w:cs="Arial" w:eastAsia="Arial" w:hAnsi="Arial"/>
          <w:color w:val="4B5563"/>
          <w:sz w:val="17"/>
          <w:szCs w:val="17"/>
        </w:rPr>
        <w:t xml:space="preserve">Prepared from aihousers.com/road-to-housing · content reviewed August 29, 2026</w:t>
      </w:r>
    </w:p>
    <w:p>
      <w:pPr>
        <w:spacing w:after="0" w:line="252"/>
      </w:pPr>
      <w:r>
        <w:rPr>
          <w:rFonts w:ascii="Arial" w:cs="Arial" w:eastAsia="Arial" w:hAnsi="Arial"/>
          <w:color w:val="4B5563"/>
          <w:sz w:val="17"/>
          <w:szCs w:val="17"/>
        </w:rPr>
        <w:t xml:space="preserve">Reuse freely, including with your own logo, with attribution to AI Housers — aihousers.com/road-to-housing (CC BY 4.0). </w:t>
      </w:r>
      <w:r>
        <w:rPr>
          <w:rFonts w:ascii="Arial" w:cs="Arial" w:eastAsia="Arial" w:hAnsi="Arial"/>
          <w:color w:val="0A66C2"/>
          <w:sz w:val="17"/>
          <w:szCs w:val="17"/>
        </w:rPr>
        <w:t xml:space="preserve">https://creativecommons.org/licenses/by/4.0/</w:t>
      </w:r>
    </w:p>
    <w:sectPr>
      <w:headerReference w:type="default" r:id="rId7"/>
      <w:footerReference w:type="default" r:id="rId8"/>
      <w:pgSz w:w="12240" w:h="15840" w:orient="portrait"/>
      <w:pgMar w:top="1080" w:right="1080" w:bottom="1080" w:left="1080" w:header="500" w:footer="50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E3EA" w:sz="4" w:space="6"/>
      </w:pBdr>
      <w:tabs>
        <w:tab w:val="right" w:pos="10080"/>
      </w:tabs>
      <w:spacing w:after="0" w:line="240"/>
    </w:pPr>
    <w:r>
      <w:rPr>
        <w:rFonts w:ascii="Arial" w:cs="Arial" w:eastAsia="Arial" w:hAnsi="Arial"/>
        <w:color w:val="4B5563"/>
        <w:sz w:val="14"/>
        <w:szCs w:val="14"/>
      </w:rPr>
      <w:t xml:space="preserve">Houser Technologies LLC d/b/a AI Housers · aihousers.com · Not legal, compliance, or financial advice.</w:t>
    </w:r>
    <w:r>
      <w:rPr>
        <w:rFonts w:ascii="Arial" w:cs="Arial" w:eastAsia="Arial" w:hAnsi="Arial"/>
        <w:color w:val="4B5563"/>
        <w:sz w:val="14"/>
        <w:szCs w:val="14"/>
      </w:rPr>
      <w:t xml:space="preserve">	Page </w:t>
    </w:r>
    <w:r>
      <w:rPr>
        <w:rFonts w:ascii="Arial" w:cs="Arial" w:eastAsia="Arial" w:hAnsi="Arial"/>
        <w:color w:val="4B5563"/>
        <w:sz w:val="14"/>
        <w:szCs w:val="14"/>
      </w:rPr>
      <w:fldChar w:fldCharType="begin"/>
      <w:instrText xml:space="preserve">PAGE</w:instrText>
      <w:fldChar w:fldCharType="separate"/>
      <w:fldChar w:fldCharType="end"/>
    </w:r>
    <w:r>
      <w:rPr>
        <w:rFonts w:ascii="Arial" w:cs="Arial" w:eastAsia="Arial" w:hAnsi="Arial"/>
        <w:color w:val="4B5563"/>
        <w:sz w:val="14"/>
        <w:szCs w:val="14"/>
      </w:rPr>
      <w:t xml:space="preserve"> of </w:t>
    </w:r>
    <w:r>
      <w:rPr>
        <w:rFonts w:ascii="Arial" w:cs="Arial" w:eastAsia="Arial" w:hAnsi="Arial"/>
        <w:color w:val="4B5563"/>
        <w:sz w:val="14"/>
        <w:szCs w:val="14"/>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0"/>
      <w:jc w:val="right"/>
    </w:pPr>
    <w:r>
      <w:rPr>
        <w:rFonts w:ascii="Arial" w:cs="Arial" w:eastAsia="Arial" w:hAnsi="Arial"/>
        <w:color w:val="4B5563"/>
        <w:sz w:val="15"/>
        <w:szCs w:val="15"/>
      </w:rPr>
      <w:t xml:space="preserve">21st Century ROAD to Housing Act · State &amp; Local Housing Finance Agencies · Leadership memo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40"/>
      </w:pPr>
      <w:rPr>
        <w:color w:val="1B4F7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Arial" w:cs="Arial" w:eastAsia="Arial" w:hAnsi="Arial"/>
      <w:b/>
      <w:bCs/>
      <w:color w:val="154360"/>
      <w:sz w:val="26"/>
      <w:szCs w:val="26"/>
    </w:rPr>
  </w:style>
  <w:style w:type="paragraph" w:styleId="Heading2">
    <w:name w:val="Heading 2"/>
    <w:basedOn w:val="Normal"/>
    <w:next w:val="Normal"/>
    <w:qFormat/>
    <w:rPr>
      <w:rFonts w:ascii="Arial" w:cs="Arial" w:eastAsia="Arial" w:hAnsi="Arial"/>
      <w:b/>
      <w:bCs/>
      <w:color w:val="1B4F7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8d29c19467000777720b1133f971811d85354e99.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21st Century ROAD to Housing Act — leadership memo (State &amp; Local Housing Finance Agencies)</dc:title>
  <dc:creator>AI Housers</dc:creator>
  <dc:description>Independent, plain-language explainer prepared by AI Housers (Houser Technologies LLC). Not legal, compliance, or financial advice; not affiliated with HUD, USDA, Congress, or any agency. Every fact traces to a primary or authoritative source; confirm against the enacted text and official agency guidance before acting.</dc:description>
  <cp:lastModifiedBy>Un-named</cp:lastModifiedBy>
  <cp:revision>1</cp:revision>
  <dcterms:created xsi:type="dcterms:W3CDTF">2026-08-30T00:37:36.704Z</dcterms:created>
  <dcterms:modified xsi:type="dcterms:W3CDTF">2026-08-30T00:37:36.704Z</dcterms:modified>
</cp:coreProperties>
</file>

<file path=docProps/custom.xml><?xml version="1.0" encoding="utf-8"?>
<Properties xmlns="http://schemas.openxmlformats.org/officeDocument/2006/custom-properties" xmlns:vt="http://schemas.openxmlformats.org/officeDocument/2006/docPropsVTypes"/>
</file>