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Prepared from aihousers.com/road-to-housing</w:t>
      </w:r>
    </w:p>
    <w:p>
      <w:pPr>
        <w:spacing w:after="140" w:before="200"/>
      </w:pPr>
      <w:r>
        <w:rPr>
          <w:rFonts w:ascii="Arial" w:cs="Arial" w:eastAsia="Arial" w:hAnsi="Arial"/>
          <w:b/>
          <w:bCs/>
          <w:color w:val="154360"/>
          <w:spacing w:val="40"/>
          <w:sz w:val="40"/>
          <w:szCs w:val="40"/>
        </w:rPr>
        <w:t xml:space="preserve">MEMORANDUM</w:t>
      </w:r>
    </w:p>
    <w:p>
      <w:pPr>
        <w:tabs>
          <w:tab w:val="left" w:pos="1100"/>
        </w:tabs>
        <w:spacing w:after="40" w:line="276"/>
        <w:ind w:left="1100" w:hanging="1100"/>
      </w:pPr>
      <w:r>
        <w:rPr>
          <w:rFonts w:ascii="Arial" w:cs="Arial" w:eastAsia="Arial" w:hAnsi="Arial"/>
          <w:b/>
          <w:bCs/>
          <w:color w:val="154360"/>
          <w:sz w:val="22"/>
          <w:szCs w:val="22"/>
        </w:rPr>
        <w:t xml:space="preserve">TO:	</w:t>
      </w:r>
      <w:r>
        <w:rPr>
          <w:rFonts w:ascii="Arial" w:cs="Arial" w:eastAsia="Arial" w:hAnsi="Arial"/>
          <w:color w:val="1A1A2E"/>
          <w:sz w:val="22"/>
          <w:szCs w:val="22"/>
        </w:rPr>
        <w:t xml:space="preserve">[Board / Leadership Team]</w:t>
      </w:r>
    </w:p>
    <w:p>
      <w:pPr>
        <w:tabs>
          <w:tab w:val="left" w:pos="1100"/>
        </w:tabs>
        <w:spacing w:after="40" w:line="276"/>
        <w:ind w:left="1100" w:hanging="1100"/>
      </w:pPr>
      <w:r>
        <w:rPr>
          <w:rFonts w:ascii="Arial" w:cs="Arial" w:eastAsia="Arial" w:hAnsi="Arial"/>
          <w:b/>
          <w:bCs/>
          <w:color w:val="154360"/>
          <w:sz w:val="22"/>
          <w:szCs w:val="22"/>
        </w:rPr>
        <w:t xml:space="preserve">FROM:	</w:t>
      </w:r>
      <w:r>
        <w:rPr>
          <w:rFonts w:ascii="Arial" w:cs="Arial" w:eastAsia="Arial" w:hAnsi="Arial"/>
          <w:color w:val="1A1A2E"/>
          <w:sz w:val="22"/>
          <w:szCs w:val="22"/>
        </w:rPr>
        <w:t xml:space="preserve">[Name, Title]</w:t>
      </w:r>
    </w:p>
    <w:p>
      <w:pPr>
        <w:tabs>
          <w:tab w:val="left" w:pos="1100"/>
        </w:tabs>
        <w:spacing w:after="40" w:line="276"/>
        <w:ind w:left="1100" w:hanging="1100"/>
      </w:pPr>
      <w:r>
        <w:rPr>
          <w:rFonts w:ascii="Arial" w:cs="Arial" w:eastAsia="Arial" w:hAnsi="Arial"/>
          <w:b/>
          <w:bCs/>
          <w:color w:val="154360"/>
          <w:sz w:val="22"/>
          <w:szCs w:val="22"/>
        </w:rPr>
        <w:t xml:space="preserve">DATE:	</w:t>
      </w:r>
      <w:r>
        <w:rPr>
          <w:rFonts w:ascii="Arial" w:cs="Arial" w:eastAsia="Arial" w:hAnsi="Arial"/>
          <w:color w:val="1A1A2E"/>
          <w:sz w:val="22"/>
          <w:szCs w:val="22"/>
        </w:rPr>
        <w:t xml:space="preserve">[Date]</w:t>
      </w:r>
    </w:p>
    <w:p>
      <w:pPr>
        <w:tabs>
          <w:tab w:val="left" w:pos="1100"/>
        </w:tabs>
        <w:spacing w:after="0" w:line="276"/>
        <w:ind w:left="1100" w:hanging="1100"/>
      </w:pPr>
      <w:r>
        <w:rPr>
          <w:rFonts w:ascii="Arial" w:cs="Arial" w:eastAsia="Arial" w:hAnsi="Arial"/>
          <w:b/>
          <w:bCs/>
          <w:color w:val="154360"/>
          <w:sz w:val="22"/>
          <w:szCs w:val="22"/>
        </w:rPr>
        <w:t xml:space="preserve">RE:	</w:t>
      </w:r>
      <w:r>
        <w:rPr>
          <w:rFonts w:ascii="Arial" w:cs="Arial" w:eastAsia="Arial" w:hAnsi="Arial"/>
          <w:color w:val="1A1A2E"/>
          <w:sz w:val="22"/>
          <w:szCs w:val="22"/>
        </w:rPr>
        <w:t xml:space="preserve">What the 21st Century ROAD to Housing Act means for [Agency Name] (All housers)</w:t>
      </w:r>
    </w:p>
    <w:p>
      <w:pPr>
        <w:pBdr>
          <w:bottom w:val="single" w:color="DDE3EA" w:sz="4" w:space="6"/>
        </w:pBdr>
        <w:spacing w:after="160"/>
      </w:pPr>
      <w:r>
        <w:rPr>
          <w:rFonts w:ascii="Arial" w:cs="Arial" w:eastAsia="Arial" w:hAnsi="Arial"/>
          <w:color w:val="1A1A2E"/>
          <w:sz w:val="4"/>
          <w:szCs w:val="4"/>
        </w:rPr>
        <w:t xml:space="preserve"/>
      </w:r>
    </w:p>
    <w:p>
      <w:pPr>
        <w:pStyle w:val="Heading1"/>
        <w:keepNext/>
        <w:spacing w:after="100" w:before="280" w:line="276"/>
      </w:pPr>
      <w:r>
        <w:rPr>
          <w:rFonts w:ascii="Arial" w:cs="Arial" w:eastAsia="Arial" w:hAnsi="Arial"/>
          <w:b/>
          <w:bCs/>
          <w:color w:val="154360"/>
          <w:sz w:val="26"/>
          <w:szCs w:val="26"/>
        </w:rPr>
        <w:t xml:space="preserve">1. Bottom line</w:t>
      </w:r>
    </w:p>
    <w:p>
      <w:pPr>
        <w:spacing w:after="120" w:line="336"/>
      </w:pPr>
      <w:r>
        <w:rPr>
          <w:rFonts w:ascii="Arial" w:cs="Arial" w:eastAsia="Arial" w:hAnsi="Arial"/>
          <w:b/>
          <w:bCs/>
          <w:color w:val="154360"/>
          <w:sz w:val="22"/>
          <w:szCs w:val="22"/>
        </w:rPr>
        <w:t xml:space="preserve">The 21st Century ROAD to Housing Act is law: 12 titles and 60 sections that reform how federal housing programs run — with almost no new money — and a clock that has already started.</w:t>
      </w:r>
    </w:p>
    <w:p>
      <w:pPr>
        <w:spacing w:after="120" w:line="336"/>
      </w:pPr>
      <w:r>
        <w:rPr>
          <w:rFonts w:ascii="Arial" w:cs="Arial" w:eastAsia="Arial" w:hAnsi="Arial"/>
          <w:color w:val="1A1A2E"/>
          <w:sz w:val="22"/>
          <w:szCs w:val="22"/>
        </w:rPr>
        <w:t xml:space="preserve">This general briefing covers the provisions that touch the most housers: voucher inspections, RAD, Moving to Work, HOME, CDBG, environmental review, manufactured housing, rural housing, the institutional-investor purchase limit, and the Act’s funding reality.</w:t>
      </w:r>
    </w:p>
    <w:p>
      <w:pPr>
        <w:pStyle w:val="Heading1"/>
        <w:keepNext/>
        <w:spacing w:after="100" w:before="280" w:line="276"/>
      </w:pPr>
      <w:r>
        <w:rPr>
          <w:rFonts w:ascii="Arial" w:cs="Arial" w:eastAsia="Arial" w:hAnsi="Arial"/>
          <w:b/>
          <w:bCs/>
          <w:color w:val="154360"/>
          <w:sz w:val="26"/>
          <w:szCs w:val="26"/>
        </w:rPr>
        <w:t xml:space="preserve">2. What the law is</w:t>
      </w:r>
    </w:p>
    <w:p>
      <w:pPr>
        <w:pStyle w:val="ListParagraph"/>
        <w:numPr>
          <w:ilvl w:val="0"/>
          <w:numId w:val="2"/>
        </w:numPr>
        <w:spacing w:after="60" w:line="336"/>
      </w:pPr>
      <w:r>
        <w:rPr>
          <w:rFonts w:ascii="Arial" w:cs="Arial" w:eastAsia="Arial" w:hAnsi="Arial"/>
          <w:color w:val="1A1A2E"/>
          <w:sz w:val="22"/>
          <w:szCs w:val="22"/>
        </w:rPr>
        <w:t xml:space="preserve">21st Century ROAD to Housing Act — H.R. 6644 (119th Congress), Public Law 119-101. </w:t>
      </w:r>
      <w:r>
        <w:rPr>
          <w:rFonts w:ascii="Arial" w:cs="Arial" w:eastAsia="Arial" w:hAnsi="Arial"/>
          <w:color w:val="1A1A2E"/>
          <w:sz w:val="22"/>
          <w:szCs w:val="22"/>
        </w:rPr>
        <w:t xml:space="preserve">Enacted July 11, 2026 — became law without the President’s signature.</w:t>
      </w:r>
    </w:p>
    <w:p>
      <w:pPr>
        <w:pStyle w:val="ListParagraph"/>
        <w:numPr>
          <w:ilvl w:val="0"/>
          <w:numId w:val="2"/>
        </w:numPr>
        <w:spacing w:after="60" w:line="336"/>
      </w:pPr>
      <w:r>
        <w:rPr>
          <w:rFonts w:ascii="Arial" w:cs="Arial" w:eastAsia="Arial" w:hAnsi="Arial"/>
          <w:color w:val="1A1A2E"/>
          <w:sz w:val="22"/>
          <w:szCs w:val="22"/>
        </w:rPr>
        <w:t xml:space="preserve">12 titles and 60 sections (Sec. 1 plus Secs. 101–1202), reforming how existing HUD, USDA, FHA, and VA housing programs run.</w:t>
      </w:r>
    </w:p>
    <w:p>
      <w:pPr>
        <w:pStyle w:val="ListParagraph"/>
        <w:numPr>
          <w:ilvl w:val="0"/>
          <w:numId w:val="2"/>
        </w:numPr>
        <w:spacing w:after="60" w:line="336"/>
      </w:pPr>
      <w:r>
        <w:rPr>
          <w:rFonts w:ascii="Arial" w:cs="Arial" w:eastAsia="Arial" w:hAnsi="Arial"/>
          <w:color w:val="1A1A2E"/>
          <w:sz w:val="22"/>
          <w:szCs w:val="22"/>
        </w:rPr>
        <w:t xml:space="preserve">Final passage: Senate 85–5, June 22, 2026 (Vote 182); House 358–32, June 23, 2026 (Roll Call 224) — cleared for the President.</w:t>
      </w:r>
    </w:p>
    <w:p>
      <w:pPr>
        <w:pStyle w:val="ListParagraph"/>
        <w:numPr>
          <w:ilvl w:val="0"/>
          <w:numId w:val="2"/>
        </w:numPr>
        <w:spacing w:after="60" w:line="336"/>
      </w:pPr>
      <w:r>
        <w:rPr>
          <w:rFonts w:ascii="Arial" w:cs="Arial" w:eastAsia="Arial" w:hAnsi="Arial"/>
          <w:color w:val="1A1A2E"/>
          <w:sz w:val="22"/>
          <w:szCs w:val="22"/>
        </w:rPr>
        <w:t xml:space="preserve">Money: the Act is mostly authorizations and reforms, not appropriations. Sec. 1202 authorizes no additional funds; the largest new authorization is the Innovation Fund at $200M / yr (Sec. 208), not yet appropriated.</w:t>
      </w:r>
    </w:p>
    <w:p>
      <w:pPr>
        <w:pStyle w:val="ListParagraph"/>
        <w:numPr>
          <w:ilvl w:val="0"/>
          <w:numId w:val="2"/>
        </w:numPr>
        <w:spacing w:after="60" w:line="336"/>
      </w:pPr>
      <w:r>
        <w:rPr>
          <w:rFonts w:ascii="Arial" w:cs="Arial" w:eastAsia="Arial" w:hAnsi="Arial"/>
          <w:color w:val="1A1A2E"/>
          <w:sz w:val="22"/>
          <w:szCs w:val="22"/>
        </w:rPr>
        <w:t xml:space="preserve">Clock: the first big deadline cluster lands Jan 7, 2027 — 180 days after enactment — investor ban takes effect; several HUD/USDA deliverables due.</w:t>
      </w:r>
    </w:p>
    <w:p>
      <w:pPr>
        <w:pStyle w:val="Heading1"/>
        <w:keepNext/>
        <w:spacing w:after="100" w:before="280" w:line="276"/>
      </w:pPr>
      <w:r>
        <w:rPr>
          <w:rFonts w:ascii="Arial" w:cs="Arial" w:eastAsia="Arial" w:hAnsi="Arial"/>
          <w:b/>
          <w:bCs/>
          <w:color w:val="154360"/>
          <w:sz w:val="26"/>
          <w:szCs w:val="26"/>
        </w:rPr>
        <w:t xml:space="preserve">3. What changes for us</w:t>
      </w:r>
    </w:p>
    <w:p>
      <w:pPr>
        <w:spacing w:after="120" w:line="336"/>
      </w:pPr>
      <w:r>
        <w:rPr>
          <w:rFonts w:ascii="Arial" w:cs="Arial" w:eastAsia="Arial" w:hAnsi="Arial"/>
          <w:color w:val="1A1A2E"/>
          <w:sz w:val="22"/>
          <w:szCs w:val="22"/>
        </w:rPr>
        <w:t xml:space="preserve">The provisions most relevant to all housers, in section order. Full plain-language summaries are on the hub.</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50"/>
        <w:gridCol w:w="3030"/>
        <w:gridCol w:w="5900"/>
      </w:tblGrid>
      <w:tr>
        <w:trPr>
          <w:cantSplit/>
          <w:tblHeader/>
        </w:trPr>
        <w:tc>
          <w:tcPr>
            <w:tcW w:type="dxa" w:w="115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Sec.</w:t>
            </w:r>
          </w:p>
        </w:tc>
        <w:tc>
          <w:tcPr>
            <w:tcW w:type="dxa" w:w="303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Provision</w:t>
            </w:r>
          </w:p>
        </w:tc>
        <w:tc>
          <w:tcPr>
            <w:tcW w:type="dxa" w:w="59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What it means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405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Choice in Affordable Housing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Streamlines Housing Choice Voucher inspections.  A unit in a LIHTC, HOME-assisted, or USDA Rural Housing Service-assisted property that passed a physical inspection in the prior 12 months is deemed to meet HCV inspection requirements if the PHA can obtain the results; HUD may allow remote or video inspections in rural or small areas if they are thorough a…</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212</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Rental Assistance Demonstration Program</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Makes the Rental Assistance Demonstration (RAD) permanent by removing its September 30, 2029 end date, raises the public housing conversion cap from 455,000 to 555,000 units, and layers on accountability: HUD must annually assess and publish the impacts of First Component conversions on preservation, leveraging, res…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New Moving to Work Cohort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HUD to add up to 25 high-performing public housing agencies to a new Moving to Work (MTW) cohort — the "Economic Opportunity and Pathways to Independence Cohort" — but only after HUD files a first comprehensive MTW report to Congress.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501</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HOME Investment Partnerships Reauthorization and Reform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 top-to-bottom modernization of HOME, the block grant that states and larger localities use for affordable rental and homeownership housing.</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208</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Innovation Fund</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$200 million a year for FY2027–FY2031 for competitive HUD grants to metropolitan cities, urban counties, other local governments, and Tribes that can show an "objective improvement in housing supply growth" under a HUD methodology published for comment at least 90 days before each NOFO.</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Build Now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Ties a slice of CDBG entitlement money to housing production.  Starting with the third full fiscal year after enactment and running through FY2043, HUD computes each metropolitan city’s and urban county’s "housing growth improvement rate" — a normalized index: the last five years’ average annual unit growth minus the prior five years’, divided by the sum…</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204</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Addition of Affordable Housing Construction as an Eligible Activity</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For the first time, makes new construction of affordable housing (as defined in HOME Section 215) an eligible CDBG activity, capped at 20 percent of a recipient’s allocation, and counts it toward the low- and moderate-income benefit requirement.</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206</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Unlocking Housing Supply Through Streamlined and Modernized Reviews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Directs HUD to rewrite its environmental review regulations (24 CFR parts 50 and 58) through notice-and-comment rulemaking so that a long list of housing activities are exempt or categorically excluded from NEPA review.</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301</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Housing Supply Expansion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Redefines "manufactured home" in the 1974 HUD Code statute as built "with or without a permanent chassis," and directs HUD, with the Manufactured Housing Consensus Committee, to issue standards, a distinct label, data plate, and invoice notation for chassis-less homes.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502</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Rural Housing Service Reform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 broad update of USDA Rural Housing Service programs.  Its centerpiece permanently establishes the Housing Preservation and Revitalization program (new Housing Act of 1949 §545) and lets USDA keep Section 521 rental assistance in place — for 20-year terms — even after a Section 514/515 loan matures or cannot be restructured ("decoupling").</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1001</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Homes Are for People, Not Corporations</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The Act’s most debated provision.  Starting 180 days after enactment (January 7, 2027), a "large institutional investor" — a for-profit fund, corporation, partnership, LLC or similar entity in the business of investing in single-family homes that, alone or in concert, has investment control of at least 350 single-family homes — may not purchase or contrac…</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1202</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No Additional Funds Authorized</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One sentence that shapes everything else: "No additional funds are authorized to be appropriated to carry out the requirements of this Act or any amendment made by this Act." The Act creates or reshapes dozens of programs, pilots and studies, but — with the notable exception of the Innovation Fund’s $200 million-a-y…</w:t>
            </w:r>
          </w:p>
        </w:tc>
      </w:tr>
    </w:tbl>
    <w:p>
      <w:pPr>
        <w:pStyle w:val="Heading1"/>
        <w:keepNext/>
        <w:spacing w:after="100" w:before="280" w:line="276"/>
      </w:pPr>
      <w:r>
        <w:rPr>
          <w:rFonts w:ascii="Arial" w:cs="Arial" w:eastAsia="Arial" w:hAnsi="Arial"/>
          <w:b/>
          <w:bCs/>
          <w:color w:val="154360"/>
          <w:sz w:val="26"/>
          <w:szCs w:val="26"/>
        </w:rPr>
        <w:t xml:space="preserve">4. Deadlines to calendar</w:t>
      </w:r>
    </w:p>
    <w:p>
      <w:pPr>
        <w:spacing w:after="120" w:line="336"/>
      </w:pPr>
      <w:r>
        <w:rPr>
          <w:rFonts w:ascii="Arial" w:cs="Arial" w:eastAsia="Arial" w:hAnsi="Arial"/>
          <w:color w:val="1A1A2E"/>
          <w:sz w:val="22"/>
          <w:szCs w:val="22"/>
        </w:rPr>
        <w:t xml:space="preserve">Statutory dates derived from the July 11, 2026 enactment. Dates the hub already tracks as met are not listed. “Who” is the agency the statute names; add your internal owner in the margin.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00"/>
        <w:gridCol w:w="7280"/>
        <w:gridCol w:w="1400"/>
      </w:tblGrid>
      <w:tr>
        <w:trPr>
          <w:cantSplit/>
          <w:tblHeader/>
        </w:trPr>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Date</w:t>
            </w:r>
          </w:p>
        </w:tc>
        <w:tc>
          <w:tcPr>
            <w:tcW w:type="dxa" w:w="728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Action</w:t>
            </w:r>
          </w:p>
        </w:tc>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Who</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Sep 9, 2026</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Notify every eligible CDBG recipient of its "housing growth improvement rate" and whether it is above, at, or below the median, and share best-practice guidance on reducing regulatory barriers (Build Now Act). (Sec. 213)</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Oct 1, 2026</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New CDBG certification takes effect: each grantee must maintain a publicly accessible, searchable database of all undeveloped land it owns. (Sec. 104)</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Oct 1, 2026</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Each receiver or federal monitor currently overseeing a covered public housing agency delivers a written assessment of its management and oversight activities to House Financial Services and Senate Banking (first one due Oct 1, 2026, then annually). (Sec. 805)</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Other</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Oct 1, 2026</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 must require each covered public housing agency to send an annual notice stating whether a receiver or Federal monitor remains appointed as of October 1, the date the appointment began and its projected end date, and the identity of the current receiver or monitor (§805(b)). (Sec. 805)</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Oct 9, 2026</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Report to House Financial Services and Senate Banking on how quickly USDA decides Section 502 and 504 loan and grant applications, with justifications for eligibility determinations that take longer than 90 days and recommendations to shorten timelines (§502(s)). (Sec. 502)</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Set eligibility criteria for PHAs and owners to join the temperature sensor pilot, define "temperature-related complaints" and "temperature-related violations," and set standards for protecting personally identifiable information collected in the pilot. (Sec. 106)</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Complete a review of how Build America, Buy America (BABA) applies to HOME-assisted activities; issue updated guidance within 90 days after the review; report to Congress by the 270-day mark (§501(m)). (Sec. 501)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Publish an advance notice of proposed rulemaking and consult stakeholders for the new Housing Preservation and Revitalization Program (new Housing Act of 1949 §545); an interim final rule follows by the one-year mark. (Sec. 502)</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Submit the first comprehensive annual report to Congress on every Moving to Work cohort (administrative plans, longitudinal data, use of flexibilities). (Sec. 505)</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 USDA, and VA jointly report to Congress on opportunities to collaborate and reduce inefficiencies across their housing programs, including laws and regulations that get in the way (HUD-USDA-VA Interagency Coordination Act). (Sec. 801)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bl>
    <w:p>
      <w:pPr>
        <w:pStyle w:val="Heading1"/>
        <w:keepNext/>
        <w:spacing w:after="100" w:before="280" w:line="276"/>
      </w:pPr>
      <w:r>
        <w:rPr>
          <w:rFonts w:ascii="Arial" w:cs="Arial" w:eastAsia="Arial" w:hAnsi="Arial"/>
          <w:b/>
          <w:bCs/>
          <w:color w:val="154360"/>
          <w:sz w:val="26"/>
          <w:szCs w:val="26"/>
        </w:rPr>
        <w:t xml:space="preserve">5. Recommended actions</w:t>
      </w:r>
    </w:p>
    <w:p>
      <w:pPr>
        <w:spacing w:after="120" w:line="336"/>
      </w:pPr>
      <w:r>
        <w:rPr>
          <w:rFonts w:ascii="Arial" w:cs="Arial" w:eastAsia="Arial" w:hAnsi="Arial"/>
          <w:color w:val="1A1A2E"/>
          <w:sz w:val="22"/>
          <w:szCs w:val="22"/>
        </w:rPr>
        <w:t xml:space="preserve">Grouped by suggested horizon. Assign an owner and a due date to each line you keep.</w:t>
      </w:r>
    </w:p>
    <w:p>
      <w:pPr>
        <w:pStyle w:val="Heading2"/>
        <w:keepNext/>
        <w:spacing w:after="60" w:before="160" w:line="276"/>
      </w:pPr>
      <w:r>
        <w:rPr>
          <w:rFonts w:ascii="Arial" w:cs="Arial" w:eastAsia="Arial" w:hAnsi="Arial"/>
          <w:b/>
          <w:bCs/>
          <w:color w:val="1B4F72"/>
          <w:sz w:val="22"/>
          <w:szCs w:val="22"/>
        </w:rPr>
        <w:t xml:space="preserve">Now</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PHAs — Brief your board on the Act: Sections 212 (RAD), 405 (HCV inspections), 505 (MTW), 404 (FSS escrow pilot), 602 (HUD-VASH income), 805 (accountability), 106 (temperature sensors), and 205–206 (environmental review) — and note Section 1202 authorizes no new money.</w:t>
      </w:r>
      <w:r>
        <w:rPr>
          <w:rFonts w:ascii="Arial" w:cs="Arial" w:eastAsia="Arial" w:hAnsi="Arial"/>
          <w:color w:val="4B5563"/>
          <w:sz w:val="18"/>
          <w:szCs w:val="18"/>
        </w:rPr>
        <w:t xml:space="preserve">  (Sec. 212, 405, 505, 404, 602, 805, 106, 205, 206, 1202)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Developers — Talk to bank LIHTC and community-development investors about capacity: the public-welfare-investment cap moved from 15% to 20% of capital and surplus for national banks and state member banks.</w:t>
      </w:r>
      <w:r>
        <w:rPr>
          <w:rFonts w:ascii="Arial" w:cs="Arial" w:eastAsia="Arial" w:hAnsi="Arial"/>
          <w:color w:val="4B5563"/>
          <w:sz w:val="18"/>
          <w:szCs w:val="18"/>
        </w:rPr>
        <w:t xml:space="preserve">  (Sec. 203)</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Lenders — Community banks under $10 billion: re-check brokered-deposit classification of custodial and reciprocal deposits under Sections 901–902, confirm whether the $6 billion extended-exam-cycle threshold now covers you (Section 903), and review de novo and capital phase-in options (Sections 907–908).</w:t>
      </w:r>
      <w:r>
        <w:rPr>
          <w:rFonts w:ascii="Arial" w:cs="Arial" w:eastAsia="Arial" w:hAnsi="Arial"/>
          <w:color w:val="4B5563"/>
          <w:sz w:val="18"/>
          <w:szCs w:val="18"/>
        </w:rPr>
        <w:t xml:space="preserve">  (Sec. 901, 902, 903, 907, 908)</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Local Gov — Stand up a public, searchable database of all undeveloped land your jurisdiction owns before October 1, 2026, and charge creation and maintenance to CDBG.</w:t>
      </w:r>
      <w:r>
        <w:rPr>
          <w:rFonts w:ascii="Arial" w:cs="Arial" w:eastAsia="Arial" w:hAnsi="Arial"/>
          <w:color w:val="4B5563"/>
          <w:sz w:val="18"/>
          <w:szCs w:val="18"/>
        </w:rPr>
        <w:t xml:space="preserve">  (Sec. 104)</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Advocates — Monitor RAD conversions locally: HUD must now assess and publish annually whether pre-conversion residents remain in or return to converted properties and how tenants’ rights fared, and can impose civil money penalties for material violations — document problems and file them.</w:t>
      </w:r>
      <w:r>
        <w:rPr>
          <w:rFonts w:ascii="Arial" w:cs="Arial" w:eastAsia="Arial" w:hAnsi="Arial"/>
          <w:color w:val="4B5563"/>
          <w:sz w:val="18"/>
          <w:szCs w:val="18"/>
        </w:rPr>
        <w:t xml:space="preserve">  (Sec. 212)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Rural &amp; Tribal — Update Section 504 outreach for the new authority to lend to low-income (not only very-low-income) applicants and the simpler security rule — repair loans under $15,000 (up from $7,500) need only a promissory note. Grant maximums are unchanged by the Act: USDA sets them administratively, currently $10,000, or $15,000 in Presidentially declared disaster areas. Expect USDA’s first 90-day application-timeliness report around October 9, 2026.</w:t>
      </w:r>
      <w:r>
        <w:rPr>
          <w:rFonts w:ascii="Arial" w:cs="Arial" w:eastAsia="Arial" w:hAnsi="Arial"/>
          <w:color w:val="4B5563"/>
          <w:sz w:val="18"/>
          <w:szCs w:val="18"/>
        </w:rPr>
        <w:t xml:space="preserve">  (Sec. 502)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Veterans &amp; Homelessness — HUD-VASH partners (PHAs and VA medical centers): update intake and eligibility procedures so VA disability compensation and pension are excluded from income eligibility — and only eligibility — for HUD-VASH and for VASH households seeking other assistance.</w:t>
      </w:r>
      <w:r>
        <w:rPr>
          <w:rFonts w:ascii="Arial" w:cs="Arial" w:eastAsia="Arial" w:hAnsi="Arial"/>
          <w:color w:val="4B5563"/>
          <w:sz w:val="18"/>
          <w:szCs w:val="18"/>
        </w:rPr>
        <w:t xml:space="preserve">  (Sec. 602)</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Next 90 days</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HFAs — Update HOME homeownership program guidelines: 100% AMI income limit, 110% of area median purchase price value cap, the new resale-or-recapture language, shared-equity and community land trust options, and waivers for deployed or relocating servicemembers and heirs.</w:t>
      </w:r>
      <w:r>
        <w:rPr>
          <w:rFonts w:ascii="Arial" w:cs="Arial" w:eastAsia="Arial" w:hAnsi="Arial"/>
          <w:color w:val="4B5563"/>
          <w:sz w:val="18"/>
          <w:szCs w:val="18"/>
        </w:rPr>
        <w:t xml:space="preserve">  (Sec. 501)</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PHAs — Amend your HCV Administrative Plan to implement the automatic deeming of qualifying LIHTC, HOME, and USDA-RHS inspection results from the prior 12 months, add a remote or video inspection protocol (to take effect if and when HUD allows it) if you serve rural or small areas, and add a new-landlord pre-inspection procedure with the 60-day lease-up window.</w:t>
      </w:r>
      <w:r>
        <w:rPr>
          <w:rFonts w:ascii="Arial" w:cs="Arial" w:eastAsia="Arial" w:hAnsi="Arial"/>
          <w:color w:val="4B5563"/>
          <w:sz w:val="18"/>
          <w:szCs w:val="18"/>
        </w:rPr>
        <w:t xml:space="preserve">  (Sec. 405)</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HFAs — Rewrite CHDO certification and set-aside procedures: the "significant" board-representation test is gone, a CHDO qualifies when it "materially participates," and set-aside funds uninvested for 24 months roll to the PJ.</w:t>
      </w:r>
      <w:r>
        <w:rPr>
          <w:rFonts w:ascii="Arial" w:cs="Arial" w:eastAsia="Arial" w:hAnsi="Arial"/>
          <w:color w:val="4B5563"/>
          <w:sz w:val="18"/>
          <w:szCs w:val="18"/>
        </w:rPr>
        <w:t xml:space="preserve">  (Sec. 501)</w:t>
      </w:r>
      <w:r>
        <w:rPr>
          <w:rFonts w:ascii="Arial" w:cs="Arial" w:eastAsia="Arial" w:hAnsi="Arial"/>
          <w:color w:val="A66A15"/>
          <w:sz w:val="18"/>
          <w:szCs w:val="18"/>
        </w:rPr>
        <w:t xml:space="preserve">  [Owner]  [Due]</w:t>
      </w:r>
    </w:p>
    <w:p>
      <w:pPr>
        <w:pStyle w:val="Heading1"/>
        <w:keepNext/>
        <w:spacing w:after="100" w:before="280" w:line="276"/>
      </w:pPr>
      <w:r>
        <w:rPr>
          <w:rFonts w:ascii="Arial" w:cs="Arial" w:eastAsia="Arial" w:hAnsi="Arial"/>
          <w:b/>
          <w:bCs/>
          <w:color w:val="154360"/>
          <w:sz w:val="26"/>
          <w:szCs w:val="26"/>
        </w:rPr>
        <w:t xml:space="preserve">6. Watch-outs</w:t>
      </w:r>
    </w:p>
    <w:p>
      <w:pPr>
        <w:pStyle w:val="ListParagraph"/>
        <w:numPr>
          <w:ilvl w:val="0"/>
          <w:numId w:val="2"/>
        </w:numPr>
        <w:spacing w:after="60" w:line="336"/>
      </w:pPr>
      <w:r>
        <w:rPr>
          <w:rFonts w:ascii="Arial" w:cs="Arial" w:eastAsia="Arial" w:hAnsi="Arial"/>
          <w:color w:val="1A1A2E"/>
          <w:sz w:val="22"/>
          <w:szCs w:val="22"/>
        </w:rPr>
        <w:t xml:space="preserve">No new money: Section 1202 says no additional funds are authorized, so the FSS pilot, temperature sensors, and MTW research all depend on appropriations that have not been made as of August 2026.</w:t>
      </w:r>
    </w:p>
    <w:p>
      <w:pPr>
        <w:pStyle w:val="ListParagraph"/>
        <w:numPr>
          <w:ilvl w:val="0"/>
          <w:numId w:val="2"/>
        </w:numPr>
        <w:spacing w:after="60" w:line="336"/>
      </w:pPr>
      <w:r>
        <w:rPr>
          <w:rFonts w:ascii="Arial" w:cs="Arial" w:eastAsia="Arial" w:hAnsi="Arial"/>
          <w:color w:val="1A1A2E"/>
          <w:sz w:val="22"/>
          <w:szCs w:val="22"/>
        </w:rPr>
        <w:t xml:space="preserve">LIHTC, the national Housing Trust Fund, HFA bond authority, and credit scoring are not in the Act; the 2025 LIHTC expansion came from a different law.</w:t>
      </w:r>
    </w:p>
    <w:p>
      <w:pPr>
        <w:pStyle w:val="ListParagraph"/>
        <w:numPr>
          <w:ilvl w:val="0"/>
          <w:numId w:val="2"/>
        </w:numPr>
        <w:spacing w:after="60" w:line="336"/>
      </w:pPr>
      <w:r>
        <w:rPr>
          <w:rFonts w:ascii="Arial" w:cs="Arial" w:eastAsia="Arial" w:hAnsi="Arial"/>
          <w:color w:val="1A1A2E"/>
          <w:sz w:val="22"/>
          <w:szCs w:val="22"/>
        </w:rPr>
        <w:t xml:space="preserve">No new construction subsidy: Section 1202 authorizes no additional appropriations; the supply programs are competitive, mostly unfunded, and routed through governments.</w:t>
      </w:r>
    </w:p>
    <w:p>
      <w:pPr>
        <w:pStyle w:val="ListParagraph"/>
        <w:numPr>
          <w:ilvl w:val="0"/>
          <w:numId w:val="2"/>
        </w:numPr>
        <w:spacing w:after="60" w:line="336"/>
      </w:pPr>
      <w:r>
        <w:rPr>
          <w:rFonts w:ascii="Arial" w:cs="Arial" w:eastAsia="Arial" w:hAnsi="Arial"/>
          <w:color w:val="1A1A2E"/>
          <w:sz w:val="22"/>
          <w:szCs w:val="22"/>
        </w:rPr>
        <w:t xml:space="preserve">Sections 401–402 are studies, not rules — the Senate’s CFPB rulemaking authority was dropped in the final text.</w:t>
      </w:r>
    </w:p>
    <w:p>
      <w:pPr>
        <w:pStyle w:val="ListParagraph"/>
        <w:numPr>
          <w:ilvl w:val="0"/>
          <w:numId w:val="2"/>
        </w:numPr>
        <w:spacing w:after="60" w:line="336"/>
      </w:pPr>
      <w:r>
        <w:rPr>
          <w:rFonts w:ascii="Arial" w:cs="Arial" w:eastAsia="Arial" w:hAnsi="Arial"/>
          <w:color w:val="1A1A2E"/>
          <w:sz w:val="22"/>
          <w:szCs w:val="22"/>
        </w:rPr>
        <w:t xml:space="preserve">Funding is the catch: the House FY2027 THUD bill kept CDBG flat at $3.3 billion, cut HOME to $500 million, and had no line for the Innovation Fund, planning grants, pattern books, RESIDE, or single-stair pilots; the Senate bill had not been released as of late August 2026.</w:t>
      </w:r>
    </w:p>
    <w:p>
      <w:pPr>
        <w:pStyle w:val="ListParagraph"/>
        <w:numPr>
          <w:ilvl w:val="0"/>
          <w:numId w:val="2"/>
        </w:numPr>
        <w:spacing w:after="60" w:line="336"/>
      </w:pPr>
      <w:r>
        <w:rPr>
          <w:rFonts w:ascii="Arial" w:cs="Arial" w:eastAsia="Arial" w:hAnsi="Arial"/>
          <w:color w:val="1A1A2E"/>
          <w:sz w:val="22"/>
          <w:szCs w:val="22"/>
        </w:rPr>
        <w:t xml:space="preserve">Nothing new for extremely low-income renters: no Housing Trust Fund money, no new vouchers, and Section 1202 authorizes no funds; NLIHC lists RAD expansion (212) and the MTW cohort (505) as provisions to monitor for concerns.</w:t>
      </w:r>
    </w:p>
    <w:p>
      <w:pPr>
        <w:pStyle w:val="Heading1"/>
        <w:keepNext/>
        <w:spacing w:after="100" w:before="280" w:line="276"/>
      </w:pPr>
      <w:r>
        <w:rPr>
          <w:rFonts w:ascii="Arial" w:cs="Arial" w:eastAsia="Arial" w:hAnsi="Arial"/>
          <w:b/>
          <w:bCs/>
          <w:color w:val="154360"/>
          <w:sz w:val="26"/>
          <w:szCs w:val="26"/>
        </w:rPr>
        <w:t xml:space="preserve">7. Questions we still have</w:t>
      </w:r>
    </w:p>
    <w:p>
      <w:pPr>
        <w:keepNext/>
        <w:spacing w:after="120" w:line="336"/>
      </w:pPr>
      <w:r>
        <w:rPr>
          <w:rFonts w:ascii="Arial" w:cs="Arial" w:eastAsia="Arial" w:hAnsi="Arial"/>
          <w:color w:val="1A1A2E"/>
          <w:sz w:val="22"/>
          <w:szCs w:val="22"/>
        </w:rPr>
        <w:t xml:space="preserve">Open items the hub could not pin down as of its last review. Track them before relying on the underlying provision.</w:t>
      </w:r>
    </w:p>
    <w:p>
      <w:pPr>
        <w:pStyle w:val="ListParagraph"/>
        <w:numPr>
          <w:ilvl w:val="0"/>
          <w:numId w:val="2"/>
        </w:numPr>
        <w:spacing w:after="60" w:line="336"/>
      </w:pPr>
      <w:r>
        <w:rPr>
          <w:rFonts w:ascii="Arial" w:cs="Arial" w:eastAsia="Arial" w:hAnsi="Arial"/>
          <w:color w:val="1A1A2E"/>
          <w:sz w:val="22"/>
          <w:szCs w:val="22"/>
        </w:rPr>
        <w:t xml:space="preserve">Whether HUD will treat §405 "deemed" LIHTC/HOME/RHS inspections as satisfying periodic (biennial NSPIRE-V) inspections or only initial inspections.</w:t>
      </w:r>
    </w:p>
    <w:p>
      <w:pPr>
        <w:pStyle w:val="ListParagraph"/>
        <w:numPr>
          <w:ilvl w:val="0"/>
          <w:numId w:val="2"/>
        </w:numPr>
        <w:spacing w:after="60" w:line="336"/>
      </w:pPr>
      <w:r>
        <w:rPr>
          <w:rFonts w:ascii="Arial" w:cs="Arial" w:eastAsia="Arial" w:hAnsi="Arial"/>
          <w:color w:val="1A1A2E"/>
          <w:sz w:val="22"/>
          <w:szCs w:val="22"/>
        </w:rPr>
        <w:t xml:space="preserve">The status of HUD’s separate work-requirements and term-limits proposed rule (March 2, 2026) and how it interacts with §505’s bar on waiver 12 for the new MTW cohort and the §803 work-requirements study.</w:t>
      </w:r>
    </w:p>
    <w:p>
      <w:pPr>
        <w:pStyle w:val="ListParagraph"/>
        <w:numPr>
          <w:ilvl w:val="0"/>
          <w:numId w:val="2"/>
        </w:numPr>
        <w:spacing w:after="60" w:line="336"/>
      </w:pPr>
      <w:r>
        <w:rPr>
          <w:rFonts w:ascii="Arial" w:cs="Arial" w:eastAsia="Arial" w:hAnsi="Arial"/>
          <w:color w:val="1A1A2E"/>
          <w:sz w:val="22"/>
          <w:szCs w:val="22"/>
        </w:rPr>
        <w:t xml:space="preserve">Whether §501(e)’s new HOME infrastructure authority excludes every state participating jurisdiction.</w:t>
      </w:r>
    </w:p>
    <w:p>
      <w:pPr>
        <w:pStyle w:val="ListParagraph"/>
        <w:numPr>
          <w:ilvl w:val="0"/>
          <w:numId w:val="2"/>
        </w:numPr>
        <w:spacing w:after="60" w:line="336"/>
      </w:pPr>
      <w:r>
        <w:rPr>
          <w:rFonts w:ascii="Arial" w:cs="Arial" w:eastAsia="Arial" w:hAnsi="Arial"/>
          <w:color w:val="1A1A2E"/>
          <w:sz w:val="22"/>
          <w:szCs w:val="22"/>
        </w:rPr>
        <w:t xml:space="preserve">Whether §501(l)’s NEPA categorical exemptions are self-executing on enactment or await the July 2027 rule.</w:t>
      </w:r>
    </w:p>
    <w:p>
      <w:pPr>
        <w:pStyle w:val="Heading1"/>
        <w:keepNext/>
        <w:spacing w:after="100" w:before="280" w:line="276"/>
      </w:pPr>
      <w:r>
        <w:rPr>
          <w:rFonts w:ascii="Arial" w:cs="Arial" w:eastAsia="Arial" w:hAnsi="Arial"/>
          <w:b/>
          <w:bCs/>
          <w:color w:val="154360"/>
          <w:sz w:val="26"/>
          <w:szCs w:val="26"/>
        </w:rPr>
        <w:t xml:space="preserve">8. Sources</w:t>
      </w:r>
    </w:p>
    <w:p>
      <w:pPr>
        <w:pStyle w:val="ListParagraph"/>
        <w:keepNext w:val="false"/>
        <w:numPr>
          <w:ilvl w:val="0"/>
          <w:numId w:val="2"/>
        </w:numPr>
        <w:spacing w:after="40" w:line="288"/>
      </w:pPr>
      <w:r>
        <w:rPr>
          <w:rFonts w:ascii="Arial" w:cs="Arial" w:eastAsia="Arial" w:hAnsi="Arial"/>
          <w:b/>
          <w:bCs/>
          <w:color w:val="1A1A2E"/>
          <w:sz w:val="22"/>
          <w:szCs w:val="22"/>
        </w:rPr>
        <w:t xml:space="preserve">AI Housers hub — </w:t>
      </w:r>
      <w:r>
        <w:rPr>
          <w:rFonts w:ascii="Arial" w:cs="Arial" w:eastAsia="Arial" w:hAnsi="Arial"/>
          <w:color w:val="0A66C2"/>
          <w:sz w:val="22"/>
          <w:szCs w:val="22"/>
        </w:rPr>
        <w:t xml:space="preserve">https://aihousers.com/road-to-housing</w:t>
      </w:r>
    </w:p>
    <w:p>
      <w:pPr>
        <w:pStyle w:val="ListParagraph"/>
        <w:keepNext w:val="false"/>
        <w:numPr>
          <w:ilvl w:val="0"/>
          <w:numId w:val="2"/>
        </w:numPr>
        <w:spacing w:after="40" w:line="288"/>
      </w:pPr>
      <w:r>
        <w:rPr>
          <w:rFonts w:ascii="Arial" w:cs="Arial" w:eastAsia="Arial" w:hAnsi="Arial"/>
          <w:color w:val="1A1A2E"/>
          <w:sz w:val="22"/>
          <w:szCs w:val="22"/>
        </w:rPr>
        <w:t xml:space="preserve">H.R. 6644 — Enrolled bill text (21st Century ROAD to Housing Act) (GovInfo (GPO)) — </w:t>
      </w:r>
      <w:r>
        <w:rPr>
          <w:rFonts w:ascii="Arial" w:cs="Arial" w:eastAsia="Arial" w:hAnsi="Arial"/>
          <w:color w:val="0A66C2"/>
          <w:sz w:val="16"/>
          <w:szCs w:val="16"/>
        </w:rPr>
        <w:t xml:space="preserve">https://www.govinfo.gov/content/pkg/BILLS-119hr6644enr/html/BILLS-119hr6644enr.htm</w:t>
      </w:r>
    </w:p>
    <w:p>
      <w:pPr>
        <w:pStyle w:val="ListParagraph"/>
        <w:keepNext w:val="false"/>
        <w:numPr>
          <w:ilvl w:val="0"/>
          <w:numId w:val="2"/>
        </w:numPr>
        <w:spacing w:after="40" w:line="288"/>
      </w:pPr>
      <w:r>
        <w:rPr>
          <w:rFonts w:ascii="Arial" w:cs="Arial" w:eastAsia="Arial" w:hAnsi="Arial"/>
          <w:color w:val="1A1A2E"/>
          <w:sz w:val="22"/>
          <w:szCs w:val="22"/>
        </w:rPr>
        <w:t xml:space="preserve">Public Law 119-101 — GovInfo details page (PDF, text, XML) (GovInfo (GPO)) — </w:t>
      </w:r>
      <w:r>
        <w:rPr>
          <w:rFonts w:ascii="Arial" w:cs="Arial" w:eastAsia="Arial" w:hAnsi="Arial"/>
          <w:color w:val="0A66C2"/>
          <w:sz w:val="16"/>
          <w:szCs w:val="16"/>
        </w:rPr>
        <w:t xml:space="preserve">https://www.govinfo.gov/app/details/PLAW-119publ101</w:t>
      </w:r>
    </w:p>
    <w:p>
      <w:pPr>
        <w:pStyle w:val="ListParagraph"/>
        <w:keepNext w:val="false"/>
        <w:numPr>
          <w:ilvl w:val="0"/>
          <w:numId w:val="2"/>
        </w:numPr>
        <w:spacing w:after="40" w:line="288"/>
      </w:pPr>
      <w:r>
        <w:rPr>
          <w:rFonts w:ascii="Arial" w:cs="Arial" w:eastAsia="Arial" w:hAnsi="Arial"/>
          <w:color w:val="1A1A2E"/>
          <w:sz w:val="22"/>
          <w:szCs w:val="22"/>
        </w:rPr>
        <w:t xml:space="preserve">Public Law 119-101 — slip law PDF (Congress.gov / GPO) — </w:t>
      </w:r>
      <w:r>
        <w:rPr>
          <w:rFonts w:ascii="Arial" w:cs="Arial" w:eastAsia="Arial" w:hAnsi="Arial"/>
          <w:color w:val="0A66C2"/>
          <w:sz w:val="16"/>
          <w:szCs w:val="16"/>
        </w:rPr>
        <w:t xml:space="preserve">https://www.congress.gov/119/plaws/publ101/PLAW-119publ101.pdf</w:t>
      </w:r>
    </w:p>
    <w:p>
      <w:pPr>
        <w:pStyle w:val="ListParagraph"/>
        <w:keepNext w:val="false"/>
        <w:numPr>
          <w:ilvl w:val="0"/>
          <w:numId w:val="2"/>
        </w:numPr>
        <w:spacing w:after="40" w:line="288"/>
      </w:pPr>
      <w:r>
        <w:rPr>
          <w:rFonts w:ascii="Arial" w:cs="Arial" w:eastAsia="Arial" w:hAnsi="Arial"/>
          <w:color w:val="1A1A2E"/>
          <w:sz w:val="22"/>
          <w:szCs w:val="22"/>
        </w:rPr>
        <w:t xml:space="preserve">Statute Compilation — 21st Century ROAD to Housing Act (COMPS-18421) (GovInfo (GPO)) — </w:t>
      </w:r>
      <w:r>
        <w:rPr>
          <w:rFonts w:ascii="Arial" w:cs="Arial" w:eastAsia="Arial" w:hAnsi="Arial"/>
          <w:color w:val="0A66C2"/>
          <w:sz w:val="16"/>
          <w:szCs w:val="16"/>
        </w:rPr>
        <w:t xml:space="preserve">https://www.govinfo.gov/app/details/COMPS-18421</w:t>
      </w:r>
    </w:p>
    <w:p>
      <w:pPr>
        <w:pStyle w:val="ListParagraph"/>
        <w:keepNext w:val="false"/>
        <w:numPr>
          <w:ilvl w:val="0"/>
          <w:numId w:val="2"/>
        </w:numPr>
        <w:spacing w:after="40" w:line="288"/>
      </w:pPr>
      <w:r>
        <w:rPr>
          <w:rFonts w:ascii="Arial" w:cs="Arial" w:eastAsia="Arial" w:hAnsi="Arial"/>
          <w:color w:val="1A1A2E"/>
          <w:sz w:val="22"/>
          <w:szCs w:val="22"/>
        </w:rPr>
        <w:t xml:space="preserve">H.R. 6644 — Engrossed Amendment Senate (SA 5823, June 22, 2026 text) (GovInfo (GPO)) — </w:t>
      </w:r>
      <w:r>
        <w:rPr>
          <w:rFonts w:ascii="Arial" w:cs="Arial" w:eastAsia="Arial" w:hAnsi="Arial"/>
          <w:color w:val="0A66C2"/>
          <w:sz w:val="16"/>
          <w:szCs w:val="16"/>
        </w:rPr>
        <w:t xml:space="preserve">https://www.govinfo.gov/app/details/BILLS-119hr6644eas2</w:t>
      </w:r>
    </w:p>
    <w:p>
      <w:pPr>
        <w:pStyle w:val="ListParagraph"/>
        <w:keepNext w:val="false"/>
        <w:numPr>
          <w:ilvl w:val="0"/>
          <w:numId w:val="2"/>
        </w:numPr>
        <w:spacing w:after="40" w:line="288"/>
      </w:pPr>
      <w:r>
        <w:rPr>
          <w:rFonts w:ascii="Arial" w:cs="Arial" w:eastAsia="Arial" w:hAnsi="Arial"/>
          <w:color w:val="1A1A2E"/>
          <w:sz w:val="22"/>
          <w:szCs w:val="22"/>
        </w:rPr>
        <w:t xml:space="preserve">H.R. 6644 — Engrossed Amendment House (May 20, 2026 text) (GovInfo (GPO)) — </w:t>
      </w:r>
      <w:r>
        <w:rPr>
          <w:rFonts w:ascii="Arial" w:cs="Arial" w:eastAsia="Arial" w:hAnsi="Arial"/>
          <w:color w:val="0A66C2"/>
          <w:sz w:val="16"/>
          <w:szCs w:val="16"/>
        </w:rPr>
        <w:t xml:space="preserve">https://www.govinfo.gov/app/details/BILLS-119hr6644eah</w:t>
      </w:r>
    </w:p>
    <w:p>
      <w:pPr>
        <w:pStyle w:val="ListParagraph"/>
        <w:keepNext w:val="false"/>
        <w:numPr>
          <w:ilvl w:val="0"/>
          <w:numId w:val="2"/>
        </w:numPr>
        <w:spacing w:after="40" w:line="288"/>
      </w:pPr>
      <w:r>
        <w:rPr>
          <w:rFonts w:ascii="Arial" w:cs="Arial" w:eastAsia="Arial" w:hAnsi="Arial"/>
          <w:color w:val="1A1A2E"/>
          <w:sz w:val="22"/>
          <w:szCs w:val="22"/>
        </w:rPr>
        <w:t xml:space="preserve">S. 2651 — ROAD to Housing Act of 2025, as reported by Senate Banking (GovInfo (GPO)) — </w:t>
      </w:r>
      <w:r>
        <w:rPr>
          <w:rFonts w:ascii="Arial" w:cs="Arial" w:eastAsia="Arial" w:hAnsi="Arial"/>
          <w:color w:val="0A66C2"/>
          <w:sz w:val="16"/>
          <w:szCs w:val="16"/>
        </w:rPr>
        <w:t xml:space="preserve">https://www.govinfo.gov/content/pkg/BILLS-119s2651rs/html/BILLS-119s2651rs.htm</w:t>
      </w:r>
    </w:p>
    <w:p>
      <w:pPr>
        <w:pStyle w:val="ListParagraph"/>
        <w:keepNext w:val="false"/>
        <w:numPr>
          <w:ilvl w:val="0"/>
          <w:numId w:val="2"/>
        </w:numPr>
        <w:spacing w:after="40" w:line="288"/>
      </w:pPr>
      <w:r>
        <w:rPr>
          <w:rFonts w:ascii="Arial" w:cs="Arial" w:eastAsia="Arial" w:hAnsi="Arial"/>
          <w:color w:val="1A1A2E"/>
          <w:sz w:val="22"/>
          <w:szCs w:val="22"/>
        </w:rPr>
        <w:t xml:space="preserve">Congress.gov — H.R. 6644 bill page (actions, votes, text versions, CRS) (Library of Congress) — </w:t>
      </w:r>
      <w:r>
        <w:rPr>
          <w:rFonts w:ascii="Arial" w:cs="Arial" w:eastAsia="Arial" w:hAnsi="Arial"/>
          <w:color w:val="0A66C2"/>
          <w:sz w:val="16"/>
          <w:szCs w:val="16"/>
        </w:rPr>
        <w:t xml:space="preserve">https://www.congress.gov/bill/119th-congress/house-bill/6644</w:t>
      </w:r>
    </w:p>
    <w:p>
      <w:pPr>
        <w:pStyle w:val="ListParagraph"/>
        <w:keepNext w:val="false"/>
        <w:numPr>
          <w:ilvl w:val="0"/>
          <w:numId w:val="2"/>
        </w:numPr>
        <w:spacing w:after="40" w:line="288"/>
      </w:pPr>
      <w:r>
        <w:rPr>
          <w:rFonts w:ascii="Arial" w:cs="Arial" w:eastAsia="Arial" w:hAnsi="Arial"/>
          <w:color w:val="1A1A2E"/>
          <w:sz w:val="22"/>
          <w:szCs w:val="22"/>
        </w:rPr>
        <w:t xml:space="preserve">Congress.gov — S. 2651, ROAD to Housing Act of 2025 (Library of Congress) — </w:t>
      </w:r>
      <w:r>
        <w:rPr>
          <w:rFonts w:ascii="Arial" w:cs="Arial" w:eastAsia="Arial" w:hAnsi="Arial"/>
          <w:color w:val="0A66C2"/>
          <w:sz w:val="16"/>
          <w:szCs w:val="16"/>
        </w:rPr>
        <w:t xml:space="preserve">https://www.congress.gov/bill/119th-congress/senate-bill/2651</w:t>
      </w:r>
    </w:p>
    <w:p>
      <w:pPr>
        <w:pStyle w:val="ListParagraph"/>
        <w:keepNext w:val="false"/>
        <w:numPr>
          <w:ilvl w:val="0"/>
          <w:numId w:val="2"/>
        </w:numPr>
        <w:spacing w:after="40" w:line="288"/>
      </w:pPr>
      <w:r>
        <w:rPr>
          <w:rFonts w:ascii="Arial" w:cs="Arial" w:eastAsia="Arial" w:hAnsi="Arial"/>
          <w:color w:val="1A1A2E"/>
          <w:sz w:val="22"/>
          <w:szCs w:val="22"/>
        </w:rPr>
        <w:t xml:space="preserve">GovTrack — H.R. 6644 (21st Century ROAD to Housing Act) (GovTrack.us) — </w:t>
      </w:r>
      <w:r>
        <w:rPr>
          <w:rFonts w:ascii="Arial" w:cs="Arial" w:eastAsia="Arial" w:hAnsi="Arial"/>
          <w:color w:val="0A66C2"/>
          <w:sz w:val="16"/>
          <w:szCs w:val="16"/>
        </w:rPr>
        <w:t xml:space="preserve">https://www.govtrack.us/congress/bills/119/hr6644</w:t>
      </w:r>
    </w:p>
    <w:p>
      <w:pPr>
        <w:pStyle w:val="ListParagraph"/>
        <w:keepNext/>
        <w:numPr>
          <w:ilvl w:val="0"/>
          <w:numId w:val="2"/>
        </w:numPr>
        <w:spacing w:after="40" w:line="288"/>
      </w:pPr>
      <w:r>
        <w:rPr>
          <w:rFonts w:ascii="Arial" w:cs="Arial" w:eastAsia="Arial" w:hAnsi="Arial"/>
          <w:color w:val="1A1A2E"/>
          <w:sz w:val="22"/>
          <w:szCs w:val="22"/>
        </w:rPr>
        <w:t xml:space="preserve">H. Rept. 119-457 — HFSC report on H.R. 6644 (GovInfo (GPO)) — </w:t>
      </w:r>
      <w:r>
        <w:rPr>
          <w:rFonts w:ascii="Arial" w:cs="Arial" w:eastAsia="Arial" w:hAnsi="Arial"/>
          <w:color w:val="0A66C2"/>
          <w:sz w:val="16"/>
          <w:szCs w:val="16"/>
        </w:rPr>
        <w:t xml:space="preserve">https://www.govinfo.gov/app/details/CRPT-119hrpt457</w:t>
      </w:r>
    </w:p>
    <w:p>
      <w:pPr>
        <w:pStyle w:val="ListParagraph"/>
        <w:keepNext/>
        <w:numPr>
          <w:ilvl w:val="0"/>
          <w:numId w:val="2"/>
        </w:numPr>
        <w:spacing w:after="40" w:line="288"/>
      </w:pPr>
      <w:r>
        <w:rPr>
          <w:rFonts w:ascii="Arial" w:cs="Arial" w:eastAsia="Arial" w:hAnsi="Arial"/>
          <w:color w:val="1A1A2E"/>
          <w:sz w:val="22"/>
          <w:szCs w:val="22"/>
        </w:rPr>
        <w:t xml:space="preserve">CRS R48732 — ROAD to Housing Act of 2025 (S. 2651), section-by-section (PDF) (Congressional Research Service) — </w:t>
      </w:r>
      <w:r>
        <w:rPr>
          <w:rFonts w:ascii="Arial" w:cs="Arial" w:eastAsia="Arial" w:hAnsi="Arial"/>
          <w:color w:val="0A66C2"/>
          <w:sz w:val="16"/>
          <w:szCs w:val="16"/>
        </w:rPr>
        <w:t xml:space="preserve">https://www.congress.gov/crs_external_products/R/PDF/R48732/R48732.3.pdf</w:t>
      </w:r>
    </w:p>
    <w:p>
      <w:pPr>
        <w:keepNext/>
        <w:pBdr>
          <w:top w:val="single" w:color="DDE3EA" w:sz="4" w:space="8"/>
        </w:pBdr>
        <w:spacing w:after="80" w:before="140" w:line="336"/>
      </w:pPr>
      <w:r>
        <w:rPr>
          <w:rFonts w:ascii="Arial" w:cs="Arial" w:eastAsia="Arial" w:hAnsi="Arial"/>
          <w:b/>
          <w:bCs/>
          <w:i/>
          <w:iCs/>
          <w:color w:val="154360"/>
          <w:sz w:val="22"/>
          <w:szCs w:val="22"/>
        </w:rPr>
        <w:t xml:space="preserve">Make it yours: </w:t>
      </w:r>
      <w:r>
        <w:rPr>
          <w:rFonts w:ascii="Arial" w:cs="Arial" w:eastAsia="Arial" w:hAnsi="Arial"/>
          <w:i/>
          <w:iCs/>
          <w:color w:val="1A1A2E"/>
          <w:sz w:val="22"/>
          <w:szCs w:val="22"/>
        </w:rPr>
        <w:t xml:space="preserve">replace the bracketed placeholders, trim rows that don’t apply, and add your local numbers.</w:t>
      </w:r>
    </w:p>
    <w:p>
      <w:pPr>
        <w:keepNext/>
        <w:spacing w:after="6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keepNext/>
        <w:spacing w:after="60" w:line="252"/>
      </w:pPr>
      <w:r>
        <w:rPr>
          <w:rFonts w:ascii="Arial" w:cs="Arial" w:eastAsia="Arial" w:hAnsi="Arial"/>
          <w:color w:val="4B5563"/>
          <w:sz w:val="17"/>
          <w:szCs w:val="17"/>
        </w:rPr>
        <w:t xml:space="preserve">Prepared from aihousers.com/road-to-housing · content reviewed August 29, 2026</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5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Houser Technologies LLC d/b/a AI Housers · aihousers.com · Not legal, compliance, or financial advice.</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All housers · Leadership memo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ROAD to Housing Act — leadership memo (All housers)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dc:description>
  <cp:lastModifiedBy>Un-named</cp:lastModifiedBy>
  <cp:revision>1</cp:revision>
  <dcterms:created xsi:type="dcterms:W3CDTF">2026-08-30T00:36:39.418Z</dcterms:created>
  <dcterms:modified xsi:type="dcterms:W3CDTF">2026-08-30T00:36:39.419Z</dcterms:modified>
</cp:coreProperties>
</file>

<file path=docProps/custom.xml><?xml version="1.0" encoding="utf-8"?>
<Properties xmlns="http://schemas.openxmlformats.org/officeDocument/2006/custom-properties" xmlns:vt="http://schemas.openxmlformats.org/officeDocument/2006/docPropsVTypes"/>
</file>