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(Developers &amp; Owners)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The Act lowers process cost for HUD-assisted projects (NEPA tiers, HOME exemptions, FHA multifamily limits, bank public-welfare cap) but builds nothing itself; the one hard date for owners is the January 7, 2027 institutional-investor purchase ban.</w:t>
      </w:r>
    </w:p>
    <w:p>
      <w:pPr>
        <w:spacing w:after="120" w:line="336"/>
      </w:pPr>
      <w:r>
        <w:rPr>
          <w:rFonts w:ascii="Arial" w:cs="Arial" w:eastAsia="Arial" w:hAnsi="Arial"/>
          <w:color w:val="1A1A2E"/>
          <w:sz w:val="22"/>
          <w:szCs w:val="22"/>
        </w:rPr>
        <w:t xml:space="preserve">For affordable and mixed-income developers, the Act is a set of friction reducers.  Section 206 requires HUD to reclassify small projects (up to 15 units on a site, infill up to five acres, office-to-residential conversions) into categorical exclusions, and Section 501 writes NEPA exemptions for HOME infill and 15-unit-or-smaller projects directly into statute.</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developers &amp; owners,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204</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Addition of Affordable Housing Construction as an Eligible Activity</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For the first time, makes new construction of affordable housing (as defined in HOME Section 215) an eligible CDBG activity, capped at 20 percent of a recipient’s allocation, and counts it toward the low- and moderate-income benefit requirement.</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205</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Better Use of Intergovernmental and Local Development (BUILD) Housing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Lets HUD designate any assistance it administers as a "special project" for environmental review, which allows states, localities, and — newly — federally recognized Indian Tribes to assume HUD’s NEPA responsibilities.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206</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Unlocking Housing Supply Through Streamlined and Modernized Reviews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Directs HUD to rewrite its environmental review regulations (24 CFR parts 50 and 58) through notice-and-comment rulemaking so that a long list of housing activities are exempt or categorically excluded from NEPA review.</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207</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Grants for Planning and Implementation Associated with Affordable Housing</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Creates a competitive HUD grant program — to be established within one year — for states, insular areas, metropolitan cities, urban counties, and regional planning agencies to develop and implement housing plans, update zoning codes, build inspection capacity, and coordinate with transportation.</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208</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Innovation Fund</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$200 million a year for FY2027–FY2031 for competitive HUD grants to metropolitan cities, urban counties, other local governments, and Tribes that can show an "objective improvement in housing supply growth" under a HUD methodology published for comment at least 90 days before each NOFO.</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209</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Accelerating Home Building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grants to local governments, municipal membership organizations, and Tribes to select pre-reviewed designs — "pattern books" — for small mixed-income housing types of up to 25 units (ADUs, duplexes through fourplexes, cottage courts, townhouses, multiplexes) so builders can get faster, more predictabl…</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210</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Revitalizing Empty Structures Into Desirable Environments (RESIDE)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Adds a new Section 227 to the HOME statute authorizing a FY2027–FY2031 pilot of competitive grants to HOME participating jurisdictions to convert vacant and abandoned commercial and industrial buildings — warehouses, factories, malls, hotels — into "attainable housing." Grants of $1 million to $10 million apply in 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Affordability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Roughly quadruples the statutory per-unit mortgage limits for FHA’s multifamily insurance programs (Sections 207, 213, 220, 221(d)(4), 231, and 234) — for example, the Section 207 limits move from $38,025–$85,328 to $167,310–$375,443 — and switches annual indexing to the Census Bureau’s Price Deflator Index of Multi…</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213</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Build Now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Ties a slice of CDBG entitlement money to housing production.  Starting with the third full fiscal year after enactment and running through FY2043, HUD computes each metropolitan city’s and urban county’s "housing growth improvement rate" — a normalized index: the last five years’ average annual unit growth minus the prior five years’, divided by the sum…</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301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Supply Expansion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Redefines "manufactured home" in the 1974 HUD Code statute as built "with or without a permanent chassis," and directs HUD, with the Manufactured Housing Consensus Committee, to issue standards, a distinct label, data plate, and invoice notation for chassis-less homes.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302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Modular Housing Production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Requires HUD to review FHA construction financing programs for features — especially construction draw schedules — that keep modular builders out, identify administrative fixes under NHA Section 525, publish a report within a year, and then open a rulemaking on an alternative draw schedule for modular and manufactur…</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303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Property Improvement and Manufactured Housing Loan Modernization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Raises FHA Title I loan limits substantially: $75,000 for single-family (including manufactured home) improvement loans; $150,000 per structure and $37,500 per unit for multifamily improvements; $106,405 (single-section) and $195,322 (multi-section) for manufactured homes; $149,782 and $238,699 for home-plus-lot; an…</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1,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CDBG certification takes effect: each grantee must maintain a publicly accessible, searchable database of all undeveloped land it owns. (Sec. 104)</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Complete a review of how Build America, Buy America (BABA) applies to HOME-assisted activities; issue updated guidance within 90 days after the review; report to Congress by the 270-day mark (§501(m)). (Sec. 501)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Publish an advance notice of proposed rulemaking and consult stakeholders for the new Housing Preservation and Revitalization Program (new Housing Act of 1949 §545); an interim final rule follows by the one-year mark.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and USDA sign a memorandum of understanding to evaluate categorical exclusions, designate a lead agency and streamline adoption of each other’s environmental reviews, and study a joint physical inspection process for jointly funded housing (Streamlining Rural Housing Act). (Sec. 802)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The Title X restriction on large institutional investors purchasing single-family homes takes effect, along with the related requirements in §1001(b) and (d). (Sec. 1001)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Each large institutional investor notifies HUD whether it meets the statutory definition and reports how many single-family homes it controls and where (city and state), unless it owns 10 or fewer homes in a city. (Sec. 1001)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Other</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After consulting FEMA, SBA, and other agencies, publish proposed rules to carry out the new HCDA §124 CDBG-DR authorization (a 3-year program that sunsets July 11, 2029) with a 90-day public comment period; final rules follow at the one-year mark. (Sec. 504)</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Apr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to House Financial Services and Senate Banking on the results of the BABA-for-HOME review and the updated guidance issued (§501(m)(3)). (Sec. 501)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Establish a competitive grant program for planning and implementation activities associated with affordable housing (not construction). (Sec. 207)</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Establish the Innovation Fund: competitive grants to eligible entities that have increased local housing supply, with a public list of eligible entities. (Sec. 208)</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Talk to bank LIHTC and community-development investors about capacity: the public-welfare-investment cap moved from 15% to 20% of capital and surplus for national banks and state member banks.</w:t>
      </w:r>
      <w:r>
        <w:rPr>
          <w:rFonts w:ascii="Arial" w:cs="Arial" w:eastAsia="Arial" w:hAnsi="Arial"/>
          <w:color w:val="4B5563"/>
          <w:sz w:val="18"/>
          <w:szCs w:val="18"/>
        </w:rPr>
        <w:t xml:space="preserve">  (Sec. 203)</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Next 90 days</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Owners with LIHTC, HOME, or USDA-assisted units: a passing inspection from the prior 12 months is deemed to satisfy the voucher inspection requirement when the PHA can obtain the results — share results proactively so it can.</w:t>
      </w:r>
      <w:r>
        <w:rPr>
          <w:rFonts w:ascii="Arial" w:cs="Arial" w:eastAsia="Arial" w:hAnsi="Arial"/>
          <w:color w:val="4B5563"/>
          <w:sz w:val="18"/>
          <w:szCs w:val="18"/>
        </w:rPr>
        <w:t xml:space="preserve">  (Sec. 405)</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If your firm or fund controls (or is approaching) 350 single-family homes, map every planned purchase after January 7, 2027 to a Section 1001 exception (build-to-rent, built or renovated for sale, renovate-to-rent with at least 15% of price in rehab, rent-to-own, 55+ communities) and prepare the first HUD notification due by that date.</w:t>
      </w:r>
      <w:r>
        <w:rPr>
          <w:rFonts w:ascii="Arial" w:cs="Arial" w:eastAsia="Arial" w:hAnsi="Arial"/>
          <w:color w:val="4B5563"/>
          <w:sz w:val="18"/>
          <w:szCs w:val="18"/>
        </w:rPr>
        <w:t xml:space="preserve">  (Sec. 1001)</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Design HOME and mixed-finance deals to fit the statutory NEPA exemptions (infill, acquisition, rehab, new construction of 15 units or fewer) and plan Section 206 categorical-exclusion projects (5–15 units per site, scattered sites, office conversions) for post-rule funding.</w:t>
      </w:r>
      <w:r>
        <w:rPr>
          <w:rFonts w:ascii="Arial" w:cs="Arial" w:eastAsia="Arial" w:hAnsi="Arial"/>
          <w:color w:val="4B5563"/>
          <w:sz w:val="18"/>
          <w:szCs w:val="18"/>
        </w:rPr>
        <w:t xml:space="preserve">  (Sec. 501, 206)</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Ask CDBG grantees in your markets whether they will use the new authority to fund new construction of affordable housing (up to 20% of the allocation) with post-enactment funds.</w:t>
      </w:r>
      <w:r>
        <w:rPr>
          <w:rFonts w:ascii="Arial" w:cs="Arial" w:eastAsia="Arial" w:hAnsi="Arial"/>
          <w:color w:val="4B5563"/>
          <w:sz w:val="18"/>
          <w:szCs w:val="18"/>
        </w:rPr>
        <w:t xml:space="preserve">  (Sec. 204)</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If you build in non-entitlement areas, ask the state PJ about using HOME for water, sewer, sidewalks and utility connections adjacent to HOME- or LIHTC-assisted housing once HUD’s rule is out (Davis-Bacon applies).</w:t>
      </w:r>
      <w:r>
        <w:rPr>
          <w:rFonts w:ascii="Arial" w:cs="Arial" w:eastAsia="Arial" w:hAnsi="Arial"/>
          <w:color w:val="4B5563"/>
          <w:sz w:val="18"/>
          <w:szCs w:val="18"/>
        </w:rPr>
        <w:t xml:space="preserve">  (Sec. 501)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Manufactured and modular producers: prepare for HUD chassis-less standards and state parity certifications, HUD minimum energy standards due July 11, 2027, the FHA modular draw-schedule review, and the higher Title I limits (including a new ADU-construction purpose).</w:t>
      </w:r>
      <w:r>
        <w:rPr>
          <w:rFonts w:ascii="Arial" w:cs="Arial" w:eastAsia="Arial" w:hAnsi="Arial"/>
          <w:color w:val="4B5563"/>
          <w:sz w:val="18"/>
          <w:szCs w:val="18"/>
        </w:rPr>
        <w:t xml:space="preserve">  (Sec. 301, 302, 303)</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Re-underwrite FHA-insured multifamily pipeline against the new Section 211 statutory limits and watch for the HUD notice that reconciles them with the currently indexed limits.</w:t>
      </w:r>
      <w:r>
        <w:rPr>
          <w:rFonts w:ascii="Arial" w:cs="Arial" w:eastAsia="Arial" w:hAnsi="Arial"/>
          <w:color w:val="4B5563"/>
          <w:sz w:val="18"/>
          <w:szCs w:val="18"/>
        </w:rPr>
        <w:t xml:space="preserve">  (Sec. 211)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Track HUD NOFOs for RESIDE (vacant commercial and industrial conversions via HOME PJs), the Innovation Fund (via localities and tribes), pattern-book grants (via localities), point-access-block pilots, and PRICE (manufactured housing communities) — and note the Opportunity Zone weighting HUD may apply.</w:t>
      </w:r>
      <w:r>
        <w:rPr>
          <w:rFonts w:ascii="Arial" w:cs="Arial" w:eastAsia="Arial" w:hAnsi="Arial"/>
          <w:color w:val="4B5563"/>
          <w:sz w:val="18"/>
          <w:szCs w:val="18"/>
        </w:rPr>
        <w:t xml:space="preserve">  (Sec. 210, 208, 209, 102, 304, 201)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Watch Build Now (Section 213): CDBG entitlement cities and counties below the median housing-growth improvement rate lose 10% of their allocation from the third full fiscal year after enactment through FY2043 — a reason for local partners to document unit growth now.</w:t>
      </w:r>
      <w:r>
        <w:rPr>
          <w:rFonts w:ascii="Arial" w:cs="Arial" w:eastAsia="Arial" w:hAnsi="Arial"/>
          <w:color w:val="4B5563"/>
          <w:sz w:val="18"/>
          <w:szCs w:val="18"/>
        </w:rPr>
        <w:t xml:space="preserve">  (Sec. 213)</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No new construction subsidy: Section 1202 authorizes no additional appropriations; the supply programs are competitive, mostly unfunded, and routed through governments.</w:t>
      </w:r>
    </w:p>
    <w:p>
      <w:pPr>
        <w:pStyle w:val="ListParagraph"/>
        <w:numPr>
          <w:ilvl w:val="0"/>
          <w:numId w:val="2"/>
        </w:numPr>
        <w:spacing w:after="60" w:line="336"/>
      </w:pPr>
      <w:r>
        <w:rPr>
          <w:rFonts w:ascii="Arial" w:cs="Arial" w:eastAsia="Arial" w:hAnsi="Arial"/>
          <w:color w:val="1A1A2E"/>
          <w:sz w:val="22"/>
          <w:szCs w:val="22"/>
        </w:rPr>
        <w:t xml:space="preserve">NEPA relief covers HUD-assisted projects only and, for Section 206, only funds appropriated after HUD’s rule takes effect — do not commingle pre- and post-enactment funds if you want the new treatment.</w:t>
      </w:r>
    </w:p>
    <w:p>
      <w:pPr>
        <w:pStyle w:val="ListParagraph"/>
        <w:numPr>
          <w:ilvl w:val="0"/>
          <w:numId w:val="2"/>
        </w:numPr>
        <w:spacing w:after="60" w:line="336"/>
      </w:pPr>
      <w:r>
        <w:rPr>
          <w:rFonts w:ascii="Arial" w:cs="Arial" w:eastAsia="Arial" w:hAnsi="Arial"/>
          <w:color w:val="1A1A2E"/>
          <w:sz w:val="22"/>
          <w:szCs w:val="22"/>
        </w:rPr>
        <w:t xml:space="preserve">Section 1001 names no exemption for nonprofits, community land trusts, or LIHTC owners — but read the definition before concluding they are caught. §1001(a)(3)(A)(i) defines a large institutional investor as "an investment fund, corporation, general or limited partnership, limited liability company, joint venture, association, or other for-profit entity," a qualifier that plausibly puts nonprofits and CLTs outside the category altogether. And §1001(a)(5) defines a single-family home as a structure with 2 or fewer dwelling units, excluding manufactured homes, so most multifamily LIHTC production is outside the provision entirely. Treasury may issue rules but cannot change the definitions or the 350-home threshold.</w:t>
      </w:r>
    </w:p>
    <w:p>
      <w:pPr>
        <w:pStyle w:val="ListParagraph"/>
        <w:numPr>
          <w:ilvl w:val="0"/>
          <w:numId w:val="2"/>
        </w:numPr>
        <w:spacing w:after="60" w:line="336"/>
      </w:pPr>
      <w:r>
        <w:rPr>
          <w:rFonts w:ascii="Arial" w:cs="Arial" w:eastAsia="Arial" w:hAnsi="Arial"/>
          <w:color w:val="1A1A2E"/>
          <w:sz w:val="22"/>
          <w:szCs w:val="22"/>
        </w:rPr>
        <w:t xml:space="preserve">Davis-Bacon attaches to HOME infrastructure and to activities the Act treats as CDBG-assisted (Innovation Fund construction, point-access pilots, whole-home landlord loans).</w:t>
      </w:r>
    </w:p>
    <w:p>
      <w:pPr>
        <w:pStyle w:val="ListParagraph"/>
        <w:numPr>
          <w:ilvl w:val="0"/>
          <w:numId w:val="2"/>
        </w:numPr>
        <w:spacing w:after="60" w:line="336"/>
      </w:pPr>
      <w:r>
        <w:rPr>
          <w:rFonts w:ascii="Arial" w:cs="Arial" w:eastAsia="Arial" w:hAnsi="Arial"/>
          <w:color w:val="1A1A2E"/>
          <w:sz w:val="22"/>
          <w:szCs w:val="22"/>
        </w:rPr>
        <w:t xml:space="preserve">The Act contains no zoning preemption and no federal land conveyance; local rules still govern.</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Whether CR-provided FY2027 budget authority counts as "appropriated after the date of enactment" for §204 (CDBG new construction) and §304 (PRICE).</w:t>
      </w:r>
    </w:p>
    <w:p>
      <w:pPr>
        <w:pStyle w:val="ListParagraph"/>
        <w:numPr>
          <w:ilvl w:val="0"/>
          <w:numId w:val="2"/>
        </w:numPr>
        <w:spacing w:after="60" w:line="336"/>
      </w:pPr>
      <w:r>
        <w:rPr>
          <w:rFonts w:ascii="Arial" w:cs="Arial" w:eastAsia="Arial" w:hAnsi="Arial"/>
          <w:color w:val="1A1A2E"/>
          <w:sz w:val="22"/>
          <w:szCs w:val="22"/>
        </w:rPr>
        <w:t xml:space="preserve">Whether FY2027 appropriations will fund the Innovation Fund (§208, $200 million authorized), planning grants (§207), Whole-Home Repairs (§202), RESIDE (§210), PRICE (§304), the temperature-sensor pilot (§106), or the Long-Term Disaster Recovery Fund (§504).</w:t>
      </w:r>
    </w:p>
    <w:p>
      <w:pPr>
        <w:pStyle w:val="ListParagraph"/>
        <w:numPr>
          <w:ilvl w:val="0"/>
          <w:numId w:val="2"/>
        </w:numPr>
        <w:spacing w:after="60" w:line="336"/>
      </w:pPr>
      <w:r>
        <w:rPr>
          <w:rFonts w:ascii="Arial" w:cs="Arial" w:eastAsia="Arial" w:hAnsi="Arial"/>
          <w:color w:val="1A1A2E"/>
          <w:sz w:val="22"/>
          <w:szCs w:val="22"/>
        </w:rPr>
        <w:t xml:space="preserve">How §208’s explicit $200 million-a-year authorization coexists with §1202’s "no additional funds are authorized to be appropriated" clause.</w:t>
      </w:r>
    </w:p>
    <w:p>
      <w:pPr>
        <w:pStyle w:val="ListParagraph"/>
        <w:numPr>
          <w:ilvl w:val="0"/>
          <w:numId w:val="2"/>
        </w:numPr>
        <w:spacing w:after="60" w:line="336"/>
      </w:pPr>
      <w:r>
        <w:rPr>
          <w:rFonts w:ascii="Arial" w:cs="Arial" w:eastAsia="Arial" w:hAnsi="Arial"/>
          <w:color w:val="1A1A2E"/>
          <w:sz w:val="22"/>
          <w:szCs w:val="22"/>
        </w:rPr>
        <w:t xml:space="preserve">Whether §209(a)(8)’s "rural area" definition means what it says.</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https://aihousers.com/road-to-housing/for/developers</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BPC — 21st Century ROAD to Housing Act Implementation Tracker (Bipartisan Policy Center) — </w:t>
      </w:r>
      <w:r>
        <w:rPr>
          <w:rFonts w:ascii="Arial" w:cs="Arial" w:eastAsia="Arial" w:hAnsi="Arial"/>
          <w:color w:val="0A66C2"/>
          <w:sz w:val="16"/>
          <w:szCs w:val="16"/>
        </w:rPr>
        <w:t xml:space="preserve">https://bipartisanpolicy.org/hub/21st-century-road-to-housing-act-implementation-tracker/</w:t>
      </w:r>
    </w:p>
    <w:p>
      <w:pPr>
        <w:pStyle w:val="ListParagraph"/>
        <w:keepNext w:val="false"/>
        <w:numPr>
          <w:ilvl w:val="0"/>
          <w:numId w:val="2"/>
        </w:numPr>
        <w:spacing w:after="40" w:line="288"/>
      </w:pPr>
      <w:r>
        <w:rPr>
          <w:rFonts w:ascii="Arial" w:cs="Arial" w:eastAsia="Arial" w:hAnsi="Arial"/>
          <w:color w:val="1A1A2E"/>
          <w:sz w:val="22"/>
          <w:szCs w:val="22"/>
        </w:rPr>
        <w:t xml:space="preserve">Fact sheet — large institutional investors (Title X) (Senate Banking Committee) — </w:t>
      </w:r>
      <w:r>
        <w:rPr>
          <w:rFonts w:ascii="Arial" w:cs="Arial" w:eastAsia="Arial" w:hAnsi="Arial"/>
          <w:color w:val="0A66C2"/>
          <w:sz w:val="16"/>
          <w:szCs w:val="16"/>
        </w:rPr>
        <w:t xml:space="preserve">https://www.banking.senate.gov/imo/media/doc/road_lii.pdf</w:t>
      </w:r>
    </w:p>
    <w:p>
      <w:pPr>
        <w:pStyle w:val="ListParagraph"/>
        <w:keepNext w:val="false"/>
        <w:numPr>
          <w:ilvl w:val="0"/>
          <w:numId w:val="2"/>
        </w:numPr>
        <w:spacing w:after="40" w:line="288"/>
      </w:pPr>
      <w:r>
        <w:rPr>
          <w:rFonts w:ascii="Arial" w:cs="Arial" w:eastAsia="Arial" w:hAnsi="Arial"/>
          <w:color w:val="1A1A2E"/>
          <w:sz w:val="22"/>
          <w:szCs w:val="22"/>
        </w:rPr>
        <w:t xml:space="preserve">Fact sheet — housing supply (Senate Banking Committee) — </w:t>
      </w:r>
      <w:r>
        <w:rPr>
          <w:rFonts w:ascii="Arial" w:cs="Arial" w:eastAsia="Arial" w:hAnsi="Arial"/>
          <w:color w:val="0A66C2"/>
          <w:sz w:val="16"/>
          <w:szCs w:val="16"/>
        </w:rPr>
        <w:t xml:space="preserve">https://www.banking.senate.gov/imo/media/doc/road_supply.pdf</w:t>
      </w:r>
    </w:p>
    <w:p>
      <w:pPr>
        <w:pStyle w:val="ListParagraph"/>
        <w:keepNext w:val="false"/>
        <w:numPr>
          <w:ilvl w:val="0"/>
          <w:numId w:val="2"/>
        </w:numPr>
        <w:spacing w:after="40" w:line="288"/>
      </w:pPr>
      <w:r>
        <w:rPr>
          <w:rFonts w:ascii="Arial" w:cs="Arial" w:eastAsia="Arial" w:hAnsi="Arial"/>
          <w:color w:val="1A1A2E"/>
          <w:sz w:val="22"/>
          <w:szCs w:val="22"/>
        </w:rPr>
        <w:t xml:space="preserve">Executive Order 14376 — Stopping Wall Street From Competing With Main Street Homebuyers (Federal Register) — </w:t>
      </w:r>
      <w:r>
        <w:rPr>
          <w:rFonts w:ascii="Arial" w:cs="Arial" w:eastAsia="Arial" w:hAnsi="Arial"/>
          <w:color w:val="0A66C2"/>
          <w:sz w:val="16"/>
          <w:szCs w:val="16"/>
        </w:rPr>
        <w:t xml:space="preserve">https://www.federalregister.gov/documents/2026/01/23/2026-01424/stopping-wall-street-from-competing-with-main-street-homebuyers</w:t>
      </w:r>
    </w:p>
    <w:p>
      <w:pPr>
        <w:pStyle w:val="ListParagraph"/>
        <w:keepNext w:val="false"/>
        <w:numPr>
          <w:ilvl w:val="0"/>
          <w:numId w:val="2"/>
        </w:numPr>
        <w:spacing w:after="40" w:line="288"/>
      </w:pPr>
      <w:r>
        <w:rPr>
          <w:rFonts w:ascii="Arial" w:cs="Arial" w:eastAsia="Arial" w:hAnsi="Arial"/>
          <w:color w:val="1A1A2E"/>
          <w:sz w:val="22"/>
          <w:szCs w:val="22"/>
        </w:rPr>
        <w:t xml:space="preserve">HUD proposed rule — Revising the Definition of “Manufactured Home” to Lower Housing Costs (HUD / Federal Register) — </w:t>
      </w:r>
      <w:r>
        <w:rPr>
          <w:rFonts w:ascii="Arial" w:cs="Arial" w:eastAsia="Arial" w:hAnsi="Arial"/>
          <w:color w:val="0A66C2"/>
          <w:sz w:val="16"/>
          <w:szCs w:val="16"/>
        </w:rPr>
        <w:t xml:space="preserve">https://www.federalregister.gov/documents/2026/06/12/2026-11851/revising-the-definition-of-manufactured-home-to-lower-housing-costs</w:t>
      </w:r>
    </w:p>
    <w:p>
      <w:pPr>
        <w:pStyle w:val="ListParagraph"/>
        <w:keepNext w:val="false"/>
        <w:numPr>
          <w:ilvl w:val="0"/>
          <w:numId w:val="2"/>
        </w:numPr>
        <w:spacing w:after="40" w:line="288"/>
      </w:pPr>
      <w:r>
        <w:rPr>
          <w:rFonts w:ascii="Arial" w:cs="Arial" w:eastAsia="Arial" w:hAnsi="Arial"/>
          <w:color w:val="1A1A2E"/>
          <w:sz w:val="22"/>
          <w:szCs w:val="22"/>
        </w:rPr>
        <w:t xml:space="preserve">NAAHL — ROADmap: Implementation Guide and action matrix (National Association of Affordable Housing Lenders) — </w:t>
      </w:r>
      <w:r>
        <w:rPr>
          <w:rFonts w:ascii="Arial" w:cs="Arial" w:eastAsia="Arial" w:hAnsi="Arial"/>
          <w:color w:val="0A66C2"/>
          <w:sz w:val="16"/>
          <w:szCs w:val="16"/>
        </w:rPr>
        <w:t xml:space="preserve">https://naahl.org/thecenter/roadmap</w:t>
      </w:r>
    </w:p>
    <w:p>
      <w:pPr>
        <w:pStyle w:val="ListParagraph"/>
        <w:keepNext w:val="false"/>
        <w:numPr>
          <w:ilvl w:val="0"/>
          <w:numId w:val="2"/>
        </w:numPr>
        <w:spacing w:after="40" w:line="288"/>
      </w:pPr>
      <w:r>
        <w:rPr>
          <w:rFonts w:ascii="Arial" w:cs="Arial" w:eastAsia="Arial" w:hAnsi="Arial"/>
          <w:color w:val="1A1A2E"/>
          <w:sz w:val="22"/>
          <w:szCs w:val="22"/>
        </w:rPr>
        <w:t xml:space="preserve">NAAHL ROADmap — full implementation guide (PDF) (National Association of Affordable Housing Lenders) — </w:t>
      </w:r>
      <w:r>
        <w:rPr>
          <w:rFonts w:ascii="Arial" w:cs="Arial" w:eastAsia="Arial" w:hAnsi="Arial"/>
          <w:color w:val="0A66C2"/>
          <w:sz w:val="16"/>
          <w:szCs w:val="16"/>
        </w:rPr>
        <w:t xml:space="preserve">https://naahl.org/s/21CRoad_ImplementationGuide_072026.pdf</w:t>
      </w:r>
    </w:p>
    <w:p>
      <w:pPr>
        <w:pStyle w:val="ListParagraph"/>
        <w:keepNext w:val="false"/>
        <w:numPr>
          <w:ilvl w:val="0"/>
          <w:numId w:val="2"/>
        </w:numPr>
        <w:spacing w:after="40" w:line="288"/>
      </w:pPr>
      <w:r>
        <w:rPr>
          <w:rFonts w:ascii="Arial" w:cs="Arial" w:eastAsia="Arial" w:hAnsi="Arial"/>
          <w:color w:val="1A1A2E"/>
          <w:sz w:val="22"/>
          <w:szCs w:val="22"/>
        </w:rPr>
        <w:t xml:space="preserve">AEI Housing Center — Senate investor ban would cut supply, hurt low-income families (American Enterprise Institute) — </w:t>
      </w:r>
      <w:r>
        <w:rPr>
          <w:rFonts w:ascii="Arial" w:cs="Arial" w:eastAsia="Arial" w:hAnsi="Arial"/>
          <w:color w:val="0A66C2"/>
          <w:sz w:val="16"/>
          <w:szCs w:val="16"/>
        </w:rPr>
        <w:t xml:space="preserve">https://www.aei.org/research-products/report/senate-investor-ban-to-cut-supply-hurt-low-income-families/</w:t>
      </w:r>
    </w:p>
    <w:p>
      <w:pPr>
        <w:pStyle w:val="ListParagraph"/>
        <w:keepNext/>
        <w:numPr>
          <w:ilvl w:val="0"/>
          <w:numId w:val="2"/>
        </w:numPr>
        <w:spacing w:after="40" w:line="288"/>
      </w:pPr>
      <w:r>
        <w:rPr>
          <w:rFonts w:ascii="Arial" w:cs="Arial" w:eastAsia="Arial" w:hAnsi="Arial"/>
          <w:color w:val="1A1A2E"/>
          <w:sz w:val="22"/>
          <w:szCs w:val="22"/>
        </w:rPr>
        <w:t xml:space="preserve">NAHB — 21st Century ROAD to Housing Act advocacy hub (National Association of Home Builders) — </w:t>
      </w:r>
      <w:r>
        <w:rPr>
          <w:rFonts w:ascii="Arial" w:cs="Arial" w:eastAsia="Arial" w:hAnsi="Arial"/>
          <w:color w:val="0A66C2"/>
          <w:sz w:val="16"/>
          <w:szCs w:val="16"/>
        </w:rPr>
        <w:t xml:space="preserve">https://www.nahb.org/advocacy/top-priorities/road-to-housing</w:t>
      </w:r>
    </w:p>
    <w:p>
      <w:pPr>
        <w:pStyle w:val="ListParagraph"/>
        <w:keepNext/>
        <w:numPr>
          <w:ilvl w:val="0"/>
          <w:numId w:val="2"/>
        </w:numPr>
        <w:spacing w:after="40" w:line="288"/>
      </w:pPr>
      <w:r>
        <w:rPr>
          <w:rFonts w:ascii="Arial" w:cs="Arial" w:eastAsia="Arial" w:hAnsi="Arial"/>
          <w:color w:val="1A1A2E"/>
          <w:sz w:val="22"/>
          <w:szCs w:val="22"/>
        </w:rPr>
        <w:t xml:space="preserve">NAHB — Key land-use and zoning provisions in the ROAD Act (National Association of Home Builders) — </w:t>
      </w:r>
      <w:r>
        <w:rPr>
          <w:rFonts w:ascii="Arial" w:cs="Arial" w:eastAsia="Arial" w:hAnsi="Arial"/>
          <w:color w:val="0A66C2"/>
          <w:sz w:val="16"/>
          <w:szCs w:val="16"/>
        </w:rPr>
        <w:t xml:space="preserve">https://www.nahb.org/blog/2026/08/road-land-use-explanation</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Developers &amp; Owners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(Developers &amp; Owners)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2026-08-30T00:38:07.271Z</dcterms:created>
  <dcterms:modified xsi:type="dcterms:W3CDTF">2026-08-30T00:38:07.271Z</dcterms:modified>
</cp:coreProperties>
</file>

<file path=docProps/custom.xml><?xml version="1.0" encoding="utf-8"?>
<Properties xmlns="http://schemas.openxmlformats.org/officeDocument/2006/custom-properties" xmlns:vt="http://schemas.openxmlformats.org/officeDocument/2006/docPropsVTypes"/>
</file>