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1685925" cy="457200"/>
            <wp:effectExtent t="0" r="0" b="0" l="0"/>
            <wp:docPr id="1" name="AI Housers logo" descr="AI Housers — Houser Technologies LLC" title="AI Ho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685925" cy="457200"/>
                    </a:xfrm>
                    <a:prstGeom prst="rect">
                      <a:avLst/>
                    </a:prstGeom>
                  </pic:spPr>
                </pic:pic>
              </a:graphicData>
            </a:graphic>
          </wp:inline>
        </w:drawing>
      </w:r>
    </w:p>
    <w:p>
      <w:pPr>
        <w:pBdr>
          <w:bottom w:val="single" w:color="154360" w:sz="6" w:space="4"/>
        </w:pBdr>
        <w:spacing w:after="0" w:before="60"/>
      </w:pPr>
      <w:r>
        <w:rPr>
          <w:rFonts w:ascii="Arial" w:cs="Arial" w:eastAsia="Arial" w:hAnsi="Arial"/>
          <w:color w:val="4B5563"/>
          <w:sz w:val="17"/>
          <w:szCs w:val="17"/>
        </w:rPr>
        <w:t xml:space="preserve">Prepared from aihousers.com/road-to-housing</w:t>
      </w:r>
    </w:p>
    <w:p>
      <w:pPr>
        <w:spacing w:after="140" w:before="200"/>
      </w:pPr>
      <w:r>
        <w:rPr>
          <w:rFonts w:ascii="Arial" w:cs="Arial" w:eastAsia="Arial" w:hAnsi="Arial"/>
          <w:b/>
          <w:bCs/>
          <w:color w:val="154360"/>
          <w:spacing w:val="40"/>
          <w:sz w:val="40"/>
          <w:szCs w:val="40"/>
        </w:rPr>
        <w:t xml:space="preserve">MEMORANDUM</w:t>
      </w:r>
    </w:p>
    <w:p>
      <w:pPr>
        <w:tabs>
          <w:tab w:val="left" w:pos="1100"/>
        </w:tabs>
        <w:spacing w:after="40" w:line="276"/>
        <w:ind w:left="1100" w:hanging="1100"/>
      </w:pPr>
      <w:r>
        <w:rPr>
          <w:rFonts w:ascii="Arial" w:cs="Arial" w:eastAsia="Arial" w:hAnsi="Arial"/>
          <w:b/>
          <w:bCs/>
          <w:color w:val="154360"/>
          <w:sz w:val="22"/>
          <w:szCs w:val="22"/>
        </w:rPr>
        <w:t xml:space="preserve">TO:	</w:t>
      </w:r>
      <w:r>
        <w:rPr>
          <w:rFonts w:ascii="Arial" w:cs="Arial" w:eastAsia="Arial" w:hAnsi="Arial"/>
          <w:color w:val="1A1A2E"/>
          <w:sz w:val="22"/>
          <w:szCs w:val="22"/>
        </w:rPr>
        <w:t xml:space="preserve">[Board / Leadership Team]</w:t>
      </w:r>
    </w:p>
    <w:p>
      <w:pPr>
        <w:tabs>
          <w:tab w:val="left" w:pos="1100"/>
        </w:tabs>
        <w:spacing w:after="40" w:line="276"/>
        <w:ind w:left="1100" w:hanging="1100"/>
      </w:pPr>
      <w:r>
        <w:rPr>
          <w:rFonts w:ascii="Arial" w:cs="Arial" w:eastAsia="Arial" w:hAnsi="Arial"/>
          <w:b/>
          <w:bCs/>
          <w:color w:val="154360"/>
          <w:sz w:val="22"/>
          <w:szCs w:val="22"/>
        </w:rPr>
        <w:t xml:space="preserve">FROM:	</w:t>
      </w:r>
      <w:r>
        <w:rPr>
          <w:rFonts w:ascii="Arial" w:cs="Arial" w:eastAsia="Arial" w:hAnsi="Arial"/>
          <w:color w:val="1A1A2E"/>
          <w:sz w:val="22"/>
          <w:szCs w:val="22"/>
        </w:rPr>
        <w:t xml:space="preserve">[Name, Title]</w:t>
      </w:r>
    </w:p>
    <w:p>
      <w:pPr>
        <w:tabs>
          <w:tab w:val="left" w:pos="1100"/>
        </w:tabs>
        <w:spacing w:after="40" w:line="276"/>
        <w:ind w:left="1100" w:hanging="1100"/>
      </w:pPr>
      <w:r>
        <w:rPr>
          <w:rFonts w:ascii="Arial" w:cs="Arial" w:eastAsia="Arial" w:hAnsi="Arial"/>
          <w:b/>
          <w:bCs/>
          <w:color w:val="154360"/>
          <w:sz w:val="22"/>
          <w:szCs w:val="22"/>
        </w:rPr>
        <w:t xml:space="preserve">DATE:	</w:t>
      </w:r>
      <w:r>
        <w:rPr>
          <w:rFonts w:ascii="Arial" w:cs="Arial" w:eastAsia="Arial" w:hAnsi="Arial"/>
          <w:color w:val="1A1A2E"/>
          <w:sz w:val="22"/>
          <w:szCs w:val="22"/>
        </w:rPr>
        <w:t xml:space="preserve">[Date]</w:t>
      </w:r>
    </w:p>
    <w:p>
      <w:pPr>
        <w:tabs>
          <w:tab w:val="left" w:pos="1100"/>
        </w:tabs>
        <w:spacing w:after="0" w:line="276"/>
        <w:ind w:left="1100" w:hanging="1100"/>
      </w:pPr>
      <w:r>
        <w:rPr>
          <w:rFonts w:ascii="Arial" w:cs="Arial" w:eastAsia="Arial" w:hAnsi="Arial"/>
          <w:b/>
          <w:bCs/>
          <w:color w:val="154360"/>
          <w:sz w:val="22"/>
          <w:szCs w:val="22"/>
        </w:rPr>
        <w:t xml:space="preserve">RE:	</w:t>
      </w:r>
      <w:r>
        <w:rPr>
          <w:rFonts w:ascii="Arial" w:cs="Arial" w:eastAsia="Arial" w:hAnsi="Arial"/>
          <w:color w:val="1A1A2E"/>
          <w:sz w:val="22"/>
          <w:szCs w:val="22"/>
        </w:rPr>
        <w:t xml:space="preserve">What the 21st Century ROAD to Housing Act means for [Agency Name] (Advocates &amp; Tenants)</w:t>
      </w:r>
    </w:p>
    <w:p>
      <w:pPr>
        <w:pBdr>
          <w:bottom w:val="single" w:color="DDE3EA" w:sz="4" w:space="6"/>
        </w:pBdr>
        <w:spacing w:after="160"/>
      </w:pPr>
      <w:r>
        <w:rPr>
          <w:rFonts w:ascii="Arial" w:cs="Arial" w:eastAsia="Arial" w:hAnsi="Arial"/>
          <w:color w:val="1A1A2E"/>
          <w:sz w:val="4"/>
          <w:szCs w:val="4"/>
        </w:rPr>
        <w:t xml:space="preserve"/>
      </w:r>
    </w:p>
    <w:p>
      <w:pPr>
        <w:pStyle w:val="Heading1"/>
        <w:keepNext/>
        <w:spacing w:after="100" w:before="280" w:line="276"/>
      </w:pPr>
      <w:r>
        <w:rPr>
          <w:rFonts w:ascii="Arial" w:cs="Arial" w:eastAsia="Arial" w:hAnsi="Arial"/>
          <w:b/>
          <w:bCs/>
          <w:color w:val="154360"/>
          <w:sz w:val="26"/>
          <w:szCs w:val="26"/>
        </w:rPr>
        <w:t xml:space="preserve">1. Bottom line</w:t>
      </w:r>
    </w:p>
    <w:p>
      <w:pPr>
        <w:spacing w:after="120" w:line="336"/>
      </w:pPr>
      <w:r>
        <w:rPr>
          <w:rFonts w:ascii="Arial" w:cs="Arial" w:eastAsia="Arial" w:hAnsi="Arial"/>
          <w:b/>
          <w:bCs/>
          <w:color w:val="154360"/>
          <w:sz w:val="22"/>
          <w:szCs w:val="22"/>
        </w:rPr>
        <w:t xml:space="preserve">The Act adds guardrails (RAD tenant-protection enforcement, no work requirements or time limits in the new MTW cohort, anti-displacement conditions on ESG waivers) but no new deeply affordable housing money — the fights now are HUD rulemaking, appropriations, and monitoring.</w:t>
      </w:r>
    </w:p>
    <w:p>
      <w:pPr>
        <w:spacing w:after="120" w:line="336"/>
      </w:pPr>
      <w:r>
        <w:rPr>
          <w:rFonts w:ascii="Arial" w:cs="Arial" w:eastAsia="Arial" w:hAnsi="Arial"/>
          <w:color w:val="1A1A2E"/>
          <w:sz w:val="22"/>
          <w:szCs w:val="22"/>
        </w:rPr>
        <w:t xml:space="preserve">NLIHC called passage a monumental win and, in the same breath, said the job is not finished.  For low-income renters the Act delivers targeted changes: Section 405 should speed voucher lease-up by recognizing other programs’ recent inspections and pre-inspecting new landlords’ units; Section 602 keeps VA disability benefits from disqualifying veterans from HUD-VASH; Section 404 creates an opt-out FSS escrow pilot with strong participant protections; Section 502 permanently preserves rental assistance in maturing USDA properties and requires plain-language tenant notices two years before maturity; Section 202 conditions landlord repair loans on three-year leases and rent-increase caps; and Section 501(q) attaches a voucher-nondiscrimination condition to small HOME rentals.</w:t>
      </w:r>
    </w:p>
    <w:p>
      <w:pPr>
        <w:pStyle w:val="Heading1"/>
        <w:keepNext/>
        <w:spacing w:after="100" w:before="280" w:line="276"/>
      </w:pPr>
      <w:r>
        <w:rPr>
          <w:rFonts w:ascii="Arial" w:cs="Arial" w:eastAsia="Arial" w:hAnsi="Arial"/>
          <w:b/>
          <w:bCs/>
          <w:color w:val="154360"/>
          <w:sz w:val="26"/>
          <w:szCs w:val="26"/>
        </w:rPr>
        <w:t xml:space="preserve">2. What the law is</w:t>
      </w:r>
    </w:p>
    <w:p>
      <w:pPr>
        <w:pStyle w:val="ListParagraph"/>
        <w:numPr>
          <w:ilvl w:val="0"/>
          <w:numId w:val="2"/>
        </w:numPr>
        <w:spacing w:after="60" w:line="336"/>
      </w:pPr>
      <w:r>
        <w:rPr>
          <w:rFonts w:ascii="Arial" w:cs="Arial" w:eastAsia="Arial" w:hAnsi="Arial"/>
          <w:color w:val="1A1A2E"/>
          <w:sz w:val="22"/>
          <w:szCs w:val="22"/>
        </w:rPr>
        <w:t xml:space="preserve">21st Century ROAD to Housing Act — H.R. 6644 (119th Congress), Public Law 119-101. </w:t>
      </w:r>
      <w:r>
        <w:rPr>
          <w:rFonts w:ascii="Arial" w:cs="Arial" w:eastAsia="Arial" w:hAnsi="Arial"/>
          <w:color w:val="1A1A2E"/>
          <w:sz w:val="22"/>
          <w:szCs w:val="22"/>
        </w:rPr>
        <w:t xml:space="preserve">Enacted July 11, 2026 — became law without the President’s signature.</w:t>
      </w:r>
    </w:p>
    <w:p>
      <w:pPr>
        <w:pStyle w:val="ListParagraph"/>
        <w:numPr>
          <w:ilvl w:val="0"/>
          <w:numId w:val="2"/>
        </w:numPr>
        <w:spacing w:after="60" w:line="336"/>
      </w:pPr>
      <w:r>
        <w:rPr>
          <w:rFonts w:ascii="Arial" w:cs="Arial" w:eastAsia="Arial" w:hAnsi="Arial"/>
          <w:color w:val="1A1A2E"/>
          <w:sz w:val="22"/>
          <w:szCs w:val="22"/>
        </w:rPr>
        <w:t xml:space="preserve">12 titles and 60 sections (Sec. 1 plus Secs. 101–1202), reforming how existing HUD, USDA, FHA, and VA housing programs run.</w:t>
      </w:r>
    </w:p>
    <w:p>
      <w:pPr>
        <w:pStyle w:val="ListParagraph"/>
        <w:numPr>
          <w:ilvl w:val="0"/>
          <w:numId w:val="2"/>
        </w:numPr>
        <w:spacing w:after="60" w:line="336"/>
      </w:pPr>
      <w:r>
        <w:rPr>
          <w:rFonts w:ascii="Arial" w:cs="Arial" w:eastAsia="Arial" w:hAnsi="Arial"/>
          <w:color w:val="1A1A2E"/>
          <w:sz w:val="22"/>
          <w:szCs w:val="22"/>
        </w:rPr>
        <w:t xml:space="preserve">Final passage: Senate 85–5, June 22, 2026 (Vote 182); House 358–32, June 23, 2026 (Roll Call 224) — cleared for the President.</w:t>
      </w:r>
    </w:p>
    <w:p>
      <w:pPr>
        <w:pStyle w:val="ListParagraph"/>
        <w:numPr>
          <w:ilvl w:val="0"/>
          <w:numId w:val="2"/>
        </w:numPr>
        <w:spacing w:after="60" w:line="336"/>
      </w:pPr>
      <w:r>
        <w:rPr>
          <w:rFonts w:ascii="Arial" w:cs="Arial" w:eastAsia="Arial" w:hAnsi="Arial"/>
          <w:color w:val="1A1A2E"/>
          <w:sz w:val="22"/>
          <w:szCs w:val="22"/>
        </w:rPr>
        <w:t xml:space="preserve">Money: the Act is mostly authorizations and reforms, not appropriations. Sec. 1202 authorizes no additional funds; the largest new authorization is the Innovation Fund at $200M / yr (Sec. 208), not yet appropriated.</w:t>
      </w:r>
    </w:p>
    <w:p>
      <w:pPr>
        <w:pStyle w:val="ListParagraph"/>
        <w:numPr>
          <w:ilvl w:val="0"/>
          <w:numId w:val="2"/>
        </w:numPr>
        <w:spacing w:after="60" w:line="336"/>
      </w:pPr>
      <w:r>
        <w:rPr>
          <w:rFonts w:ascii="Arial" w:cs="Arial" w:eastAsia="Arial" w:hAnsi="Arial"/>
          <w:color w:val="1A1A2E"/>
          <w:sz w:val="22"/>
          <w:szCs w:val="22"/>
        </w:rPr>
        <w:t xml:space="preserve">Clock: the first big deadline cluster lands Jan 7, 2027 — 180 days after enactment — investor ban takes effect; several HUD/USDA deliverables due.</w:t>
      </w:r>
    </w:p>
    <w:p>
      <w:pPr>
        <w:pStyle w:val="Heading1"/>
        <w:keepNext/>
        <w:spacing w:after="100" w:before="280" w:line="276"/>
      </w:pPr>
      <w:r>
        <w:rPr>
          <w:rFonts w:ascii="Arial" w:cs="Arial" w:eastAsia="Arial" w:hAnsi="Arial"/>
          <w:b/>
          <w:bCs/>
          <w:color w:val="154360"/>
          <w:sz w:val="26"/>
          <w:szCs w:val="26"/>
        </w:rPr>
        <w:t xml:space="preserve">3. What changes for us</w:t>
      </w:r>
    </w:p>
    <w:p>
      <w:pPr>
        <w:spacing w:after="120" w:line="336"/>
      </w:pPr>
      <w:r>
        <w:rPr>
          <w:rFonts w:ascii="Arial" w:cs="Arial" w:eastAsia="Arial" w:hAnsi="Arial"/>
          <w:color w:val="1A1A2E"/>
          <w:sz w:val="22"/>
          <w:szCs w:val="22"/>
        </w:rPr>
        <w:t xml:space="preserve">The provisions most relevant to advocates &amp; tenants, in section order. Full plain-language summaries are on the hub.</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150"/>
        <w:gridCol w:w="3030"/>
        <w:gridCol w:w="5900"/>
      </w:tblGrid>
      <w:tr>
        <w:trPr>
          <w:cantSplit/>
          <w:tblHeader/>
        </w:trPr>
        <w:tc>
          <w:tcPr>
            <w:tcW w:type="dxa" w:w="115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Sec.</w:t>
            </w:r>
          </w:p>
        </w:tc>
        <w:tc>
          <w:tcPr>
            <w:tcW w:type="dxa" w:w="303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Provision</w:t>
            </w:r>
          </w:p>
        </w:tc>
        <w:tc>
          <w:tcPr>
            <w:tcW w:type="dxa" w:w="59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What it means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101</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Reforms to Housing Counseling and Financial Literacy Programs</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Rewrites the rules for HUD’s housing counseling grants.  Grantees must be geographically diverse and include organizations serving urban or rural areas, HUD must conduct performance reviews of every funded organization, and HUD may compare each pre-purchase counselor’s borrower default rates against comparable markets — with continuing education, retestin…</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202</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Whole-Home Repairs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Authorizes a HUD pilot that funds states, localities, and Tribes ("implementing organizations") to run whole-home repair programs: grants to homeowners at or below 80 percent of AMI (or income-eligible for Medicaid, CHIP, SSI, SNAP, or TANF) and loans — which may be forgivable — to small landlords for accessibility,…</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212</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Rental Assistance Demonstration Program</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Makes the Rental Assistance Demonstration (RAD) permanent by removing its September 30, 2029 end date, raises the public housing conversion cap from 455,000 to 555,000 units, and layers on accountability: HUD must annually assess and publish the impacts of First Component conversions on preservation, leveraging, res…</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404</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Helping More Families Save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Adds an "Escrow Expansion Pilot Program" to the Family Self-Sufficiency statute.</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405</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Choice in Affordable Housing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Streamlines Housing Choice Voucher inspections.  A unit in a LIHTC, HOME-assisted, or USDA Rural Housing Service-assisted property that passed a physical inspection in the prior 12 months is deemed to meet HCV inspection requirements if the PHA can obtain the results; HUD may allow remote or video inspections in rural or small areas if they are thorough a…</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501</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HOME Investment Partnerships Reauthorization and Reform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 top-to-bottom modernization of HOME, the block grant that states and larger localities use for affordable rental and homeownership housing.</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502</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Rural Housing Service Reform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 broad update of USDA Rural Housing Service programs.  Its centerpiece permanently establishes the Housing Preservation and Revitalization program (new Housing Act of 1949 §545) and lets USDA keep Section 521 rental assistance in place — for 20-year terms — even after a Section 514/515 loan matures or cannot be restructured ("decoupling").</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503</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Incentivizing Local Solutions to Homelessness</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Gives Emergency Solutions Grants (ESG) recipients a way to spend more than the statutory cap on emergency shelter and street outreach.</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505</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New Moving to Work Cohort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Authorizes HUD to add up to 25 high-performing public housing agencies to a new Moving to Work (MTW) cohort — the "Economic Opportunity and Pathways to Independence Cohort" — but only after HUD files a first comprehensive MTW report to Congress.</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602</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Housing Unhoused Disabled Veterans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Fixes a long-standing barrier for disabled veterans: VA disability compensation and pension (38 U.S.C. chapters 11 and 15) no longer counts when determining income eligibility for HUD-VASH, or when a HUD-VASH household is evaluated for other housing assistance.</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701</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Requiring Annual Testimony and Oversight From Housing Regulators</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Puts the HUD Secretary in front of Congress every year.  New HUD Act §7(u) requires the Secretary to testify annually before Senate Banking and House Financial Services on the Department’s operations, the physical condition of public and assisted housing, the health of FHA’s insurance funds, grantee oversight, progress on the affordable housing and homele…</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703</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United States Interagency Council on Homelessness Oversight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  Interagency Council on Homelessness (USICH).</w:t>
            </w:r>
          </w:p>
        </w:tc>
      </w:tr>
    </w:tbl>
    <w:p>
      <w:pPr>
        <w:pStyle w:val="Heading1"/>
        <w:keepNext/>
        <w:spacing w:after="100" w:before="280" w:line="276"/>
      </w:pPr>
      <w:r>
        <w:rPr>
          <w:rFonts w:ascii="Arial" w:cs="Arial" w:eastAsia="Arial" w:hAnsi="Arial"/>
          <w:b/>
          <w:bCs/>
          <w:color w:val="154360"/>
          <w:sz w:val="26"/>
          <w:szCs w:val="26"/>
        </w:rPr>
        <w:t xml:space="preserve">4. Deadlines to calendar</w:t>
      </w:r>
    </w:p>
    <w:p>
      <w:pPr>
        <w:spacing w:after="120" w:line="336"/>
      </w:pPr>
      <w:r>
        <w:rPr>
          <w:rFonts w:ascii="Arial" w:cs="Arial" w:eastAsia="Arial" w:hAnsi="Arial"/>
          <w:color w:val="1A1A2E"/>
          <w:sz w:val="22"/>
          <w:szCs w:val="22"/>
        </w:rPr>
        <w:t xml:space="preserve">Statutory dates derived from the July 11, 2026 enactment. Dates the hub already tracks as met are not listed. “Who” is the agency the statute names; add your internal owner in the margin.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400"/>
        <w:gridCol w:w="7280"/>
        <w:gridCol w:w="1400"/>
      </w:tblGrid>
      <w:tr>
        <w:trPr>
          <w:cantSplit/>
          <w:tblHeader/>
        </w:trPr>
        <w:tc>
          <w:tcPr>
            <w:tcW w:type="dxa" w:w="14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Date</w:t>
            </w:r>
          </w:p>
        </w:tc>
        <w:tc>
          <w:tcPr>
            <w:tcW w:type="dxa" w:w="728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Action</w:t>
            </w:r>
          </w:p>
        </w:tc>
        <w:tc>
          <w:tcPr>
            <w:tcW w:type="dxa" w:w="14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Who</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Set eligibility criteria for PHAs and owners to join the temperature sensor pilot, define "temperature-related complaints" and "temperature-related violations," and set standards for protecting personally identifiable information collected in the pilot. (Sec. 106)</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The Title X restriction on large institutional investors purchasing single-family homes takes effect, along with the related requirements in §1001(b) and (d). (Sec. 1001)</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Stand up a renter outreach resource: a toll-free number and public website where renters of homes owned by large institutional investors can report disputes and potential violations of federal law, with referral to state authorities. (Sec. 1001)</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Mar 31,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Submit a public annual report to Congress aggregating disputes received through the renter outreach resource and the investor notifications HUD receives (anonymized). (Sec. 1001)</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Report initial findings to Senate Banking and House Financial Services from the study of work requirements that certain Moving to Work agencies implemented before enactment (benefits, challenges, and effects on residents and PHA capacity) — but only if HUD first makes the §803(b) determination. (Sec. 803)</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Deliver four GAO reports: obstacles to affordable housing for middle-income households; options to improve housing for elderly and disabled persons (Section 202/811); how many homes and public housing units sit within one mile of a Superfund NPL site; and a definition and analysis of residential heirs property. (Sec. 804)</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GAO</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2028</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Issue regulations creating a process to adjust Rural Development (Section 542) voucher amounts after issuance following an interim or annual review, including tenant-requested recalculation after an income drop. (Sec. 502)</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USDA-RHS</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2028</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During the two years after enactment, the Assistant Secretary for Policy Development and Research must (A) publish draft zoning-framework guidelines and best practices in the Federal Register for public comment and (B) establish a task force — urban planners, architects, affordable, market-rate, manufactured and coo… (Sec. 107)</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2029</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GAO and HUD (with Treasury, RHS, VA Loan Guaranty, SEC and others) each report on the impact of large institutional investor ownership on availability and affordability and on the effectiveness of the purchase restriction; repeated at the 10-year mark. (Sec. 1001)</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GAO</w:t>
            </w:r>
          </w:p>
        </w:tc>
      </w:tr>
    </w:tbl>
    <w:p>
      <w:pPr>
        <w:pStyle w:val="Heading1"/>
        <w:keepNext/>
        <w:spacing w:after="100" w:before="280" w:line="276"/>
      </w:pPr>
      <w:r>
        <w:rPr>
          <w:rFonts w:ascii="Arial" w:cs="Arial" w:eastAsia="Arial" w:hAnsi="Arial"/>
          <w:b/>
          <w:bCs/>
          <w:color w:val="154360"/>
          <w:sz w:val="26"/>
          <w:szCs w:val="26"/>
        </w:rPr>
        <w:t xml:space="preserve">5. Recommended actions</w:t>
      </w:r>
    </w:p>
    <w:p>
      <w:pPr>
        <w:spacing w:after="120" w:line="336"/>
      </w:pPr>
      <w:r>
        <w:rPr>
          <w:rFonts w:ascii="Arial" w:cs="Arial" w:eastAsia="Arial" w:hAnsi="Arial"/>
          <w:color w:val="1A1A2E"/>
          <w:sz w:val="22"/>
          <w:szCs w:val="22"/>
        </w:rPr>
        <w:t xml:space="preserve">Grouped by suggested horizon. Assign an owner and a due date to each line you keep.</w:t>
      </w:r>
    </w:p>
    <w:p>
      <w:pPr>
        <w:pStyle w:val="Heading2"/>
        <w:keepNext/>
        <w:spacing w:after="60" w:before="160" w:line="276"/>
      </w:pPr>
      <w:r>
        <w:rPr>
          <w:rFonts w:ascii="Arial" w:cs="Arial" w:eastAsia="Arial" w:hAnsi="Arial"/>
          <w:b/>
          <w:bCs/>
          <w:color w:val="1B4F72"/>
          <w:sz w:val="22"/>
          <w:szCs w:val="22"/>
        </w:rPr>
        <w:t xml:space="preserve">Now</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Monitor RAD conversions locally: HUD must now assess and publish annually whether pre-conversion residents remain in or return to converted properties and how tenants’ rights fared, and can impose civil money penalties for material violations — document problems and file them.</w:t>
      </w:r>
      <w:r>
        <w:rPr>
          <w:rFonts w:ascii="Arial" w:cs="Arial" w:eastAsia="Arial" w:hAnsi="Arial"/>
          <w:color w:val="4B5563"/>
          <w:sz w:val="18"/>
          <w:szCs w:val="18"/>
        </w:rPr>
        <w:t xml:space="preserve">  (Sec. 212)</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Next 90 days</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Ask your PHA when it will update its Administrative Plan for Section 405 (implementing the automatic recognition of recent LIHTC, HOME and USDA inspections; new-landlord pre-inspection; a list of pre-inspected units in every voucher briefing) and push for the list to be real and current.</w:t>
      </w:r>
      <w:r>
        <w:rPr>
          <w:rFonts w:ascii="Arial" w:cs="Arial" w:eastAsia="Arial" w:hAnsi="Arial"/>
          <w:color w:val="4B5563"/>
          <w:sz w:val="18"/>
          <w:szCs w:val="18"/>
        </w:rPr>
        <w:t xml:space="preserve">  (Sec. 405)</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By end of 2026</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Comment on HUD’s MTW cohort design and the first comprehensive MTW report (due about January 7, 2027) — press for public, disaggregated eviction, hardship, and homelessness-at-admission data for every MTW agency.</w:t>
      </w:r>
      <w:r>
        <w:rPr>
          <w:rFonts w:ascii="Arial" w:cs="Arial" w:eastAsia="Arial" w:hAnsi="Arial"/>
          <w:color w:val="4B5563"/>
          <w:sz w:val="18"/>
          <w:szCs w:val="18"/>
        </w:rPr>
        <w:t xml:space="preserve">  (Sec. 505)</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If your jurisdiction seeks an ESG waiver of the 60% shelter and outreach cap, use the public-input requirement and the Continuum of Care notice to weigh in — and flag any practice of relocating people without offering shelter or housing, which requires HUD to deny the waiver.</w:t>
      </w:r>
      <w:r>
        <w:rPr>
          <w:rFonts w:ascii="Arial" w:cs="Arial" w:eastAsia="Arial" w:hAnsi="Arial"/>
          <w:color w:val="4B5563"/>
          <w:sz w:val="18"/>
          <w:szCs w:val="18"/>
        </w:rPr>
        <w:t xml:space="preserve">  (Sec. 503)</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Press appropriators for the money the Act did not authorize: Whole-Home Repairs, temperature sensors, FSS pilot evaluation, PRICE, and HOME — the House FY2027 THUD bill cut HOME by $750 million.</w:t>
      </w:r>
      <w:r>
        <w:rPr>
          <w:rFonts w:ascii="Arial" w:cs="Arial" w:eastAsia="Arial" w:hAnsi="Arial"/>
          <w:color w:val="4B5563"/>
          <w:sz w:val="18"/>
          <w:szCs w:val="18"/>
        </w:rPr>
        <w:t xml:space="preserve">  (Sec. 1202, 202, 106, 404, 304)</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In 2027</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Help tenants in USDA Section 514/515 properties: owners must now get annual maturity notices and tenants a plain-language notice at least two years before maturity explaining how to keep federally assisted housing or get a voucher; rural vouchers extend to households in matured properties.</w:t>
      </w:r>
      <w:r>
        <w:rPr>
          <w:rFonts w:ascii="Arial" w:cs="Arial" w:eastAsia="Arial" w:hAnsi="Arial"/>
          <w:color w:val="4B5563"/>
          <w:sz w:val="18"/>
          <w:szCs w:val="18"/>
        </w:rPr>
        <w:t xml:space="preserve">  (Sec. 502)</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Weigh in on the FSS Escrow Expansion Pilot design: participants must be told they cannot be in both FSS and the pilot, can opt out at least two weeks before an account opens and any time after, and cannot lose assistance for participating or not.</w:t>
      </w:r>
      <w:r>
        <w:rPr>
          <w:rFonts w:ascii="Arial" w:cs="Arial" w:eastAsia="Arial" w:hAnsi="Arial"/>
          <w:color w:val="4B5563"/>
          <w:sz w:val="18"/>
          <w:szCs w:val="18"/>
        </w:rPr>
        <w:t xml:space="preserve">  (Sec. 404)</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Publicize the HUD renter hotline and website for tenants of large institutional investors once it launches (due about January 7, 2027); investors must give written notice at move-in and annually.</w:t>
      </w:r>
      <w:r>
        <w:rPr>
          <w:rFonts w:ascii="Arial" w:cs="Arial" w:eastAsia="Arial" w:hAnsi="Arial"/>
          <w:color w:val="4B5563"/>
          <w:sz w:val="18"/>
          <w:szCs w:val="18"/>
        </w:rPr>
        <w:t xml:space="preserve">  (Sec. 1001)</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Watch</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Track HUD’s separate proposed rule on work requirements and term limits (published March 2, 2026; comments closed May 1, 2026) alongside Section 803’s study of MTW work requirements and Section 505’s ban on them for the new cohort.</w:t>
      </w:r>
      <w:r>
        <w:rPr>
          <w:rFonts w:ascii="Arial" w:cs="Arial" w:eastAsia="Arial" w:hAnsi="Arial"/>
          <w:color w:val="4B5563"/>
          <w:sz w:val="18"/>
          <w:szCs w:val="18"/>
        </w:rPr>
        <w:t xml:space="preserve">  (Sec. 803, 505)</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Use the annual accountability hooks: HUD must testify yearly on progress against the affordability and homelessness crises (Section 701), USICH must report annually and testify if asked (Section 703), and monitors of troubled PHAs must send Congress an assessment by October 1 each year (Section 805).</w:t>
      </w:r>
      <w:r>
        <w:rPr>
          <w:rFonts w:ascii="Arial" w:cs="Arial" w:eastAsia="Arial" w:hAnsi="Arial"/>
          <w:color w:val="4B5563"/>
          <w:sz w:val="18"/>
          <w:szCs w:val="18"/>
        </w:rPr>
        <w:t xml:space="preserve">  (Sec. 701, 703, 805)</w:t>
      </w:r>
      <w:r>
        <w:rPr>
          <w:rFonts w:ascii="Arial" w:cs="Arial" w:eastAsia="Arial" w:hAnsi="Arial"/>
          <w:color w:val="A66A15"/>
          <w:sz w:val="18"/>
          <w:szCs w:val="18"/>
        </w:rPr>
        <w:t xml:space="preserve">  [Owner]  [Due]</w:t>
      </w:r>
    </w:p>
    <w:p>
      <w:pPr>
        <w:pStyle w:val="Heading1"/>
        <w:keepNext/>
        <w:spacing w:after="100" w:before="280" w:line="276"/>
      </w:pPr>
      <w:r>
        <w:rPr>
          <w:rFonts w:ascii="Arial" w:cs="Arial" w:eastAsia="Arial" w:hAnsi="Arial"/>
          <w:b/>
          <w:bCs/>
          <w:color w:val="154360"/>
          <w:sz w:val="26"/>
          <w:szCs w:val="26"/>
        </w:rPr>
        <w:t xml:space="preserve">6. Watch-outs</w:t>
      </w:r>
    </w:p>
    <w:p>
      <w:pPr>
        <w:pStyle w:val="ListParagraph"/>
        <w:numPr>
          <w:ilvl w:val="0"/>
          <w:numId w:val="2"/>
        </w:numPr>
        <w:spacing w:after="60" w:line="336"/>
      </w:pPr>
      <w:r>
        <w:rPr>
          <w:rFonts w:ascii="Arial" w:cs="Arial" w:eastAsia="Arial" w:hAnsi="Arial"/>
          <w:color w:val="1A1A2E"/>
          <w:sz w:val="22"/>
          <w:szCs w:val="22"/>
        </w:rPr>
        <w:t xml:space="preserve">Nothing new for extremely low-income renters: no Housing Trust Fund money, no new vouchers, and Section 1202 authorizes no funds; NLIHC lists RAD expansion (212) and the MTW cohort (505) as provisions to monitor for concerns.</w:t>
      </w:r>
    </w:p>
    <w:p>
      <w:pPr>
        <w:pStyle w:val="ListParagraph"/>
        <w:numPr>
          <w:ilvl w:val="0"/>
          <w:numId w:val="2"/>
        </w:numPr>
        <w:spacing w:after="60" w:line="336"/>
      </w:pPr>
      <w:r>
        <w:rPr>
          <w:rFonts w:ascii="Arial" w:cs="Arial" w:eastAsia="Arial" w:hAnsi="Arial"/>
          <w:color w:val="1A1A2E"/>
          <w:sz w:val="22"/>
          <w:szCs w:val="22"/>
        </w:rPr>
        <w:t xml:space="preserve">Dropped provisions: the Continuum of Care reforms, HCV third-party income verification, an eviction helpline for all renters, and tenant-screening or eviction-notice protections did not make the final law.</w:t>
      </w:r>
    </w:p>
    <w:p>
      <w:pPr>
        <w:pStyle w:val="ListParagraph"/>
        <w:numPr>
          <w:ilvl w:val="0"/>
          <w:numId w:val="2"/>
        </w:numPr>
        <w:spacing w:after="60" w:line="336"/>
      </w:pPr>
      <w:r>
        <w:rPr>
          <w:rFonts w:ascii="Arial" w:cs="Arial" w:eastAsia="Arial" w:hAnsi="Arial"/>
          <w:color w:val="1A1A2E"/>
          <w:sz w:val="22"/>
          <w:szCs w:val="22"/>
        </w:rPr>
        <w:t xml:space="preserve">Section 505 reporting is a data win only if HUD publishes it in usable form and on time — the first report is due about January 7, 2027.</w:t>
      </w:r>
    </w:p>
    <w:p>
      <w:pPr>
        <w:pStyle w:val="ListParagraph"/>
        <w:numPr>
          <w:ilvl w:val="0"/>
          <w:numId w:val="2"/>
        </w:numPr>
        <w:spacing w:after="60" w:line="336"/>
      </w:pPr>
      <w:r>
        <w:rPr>
          <w:rFonts w:ascii="Arial" w:cs="Arial" w:eastAsia="Arial" w:hAnsi="Arial"/>
          <w:color w:val="1A1A2E"/>
          <w:sz w:val="22"/>
          <w:szCs w:val="22"/>
        </w:rPr>
        <w:t xml:space="preserve">Section 503 aligns with HUD’s 2026 shift toward shelter and treatment-first funding; the anti-relocation denial clause is untested.</w:t>
      </w:r>
    </w:p>
    <w:p>
      <w:pPr>
        <w:pStyle w:val="ListParagraph"/>
        <w:numPr>
          <w:ilvl w:val="0"/>
          <w:numId w:val="2"/>
        </w:numPr>
        <w:spacing w:after="60" w:line="336"/>
      </w:pPr>
      <w:r>
        <w:rPr>
          <w:rFonts w:ascii="Arial" w:cs="Arial" w:eastAsia="Arial" w:hAnsi="Arial"/>
          <w:color w:val="1A1A2E"/>
          <w:sz w:val="22"/>
          <w:szCs w:val="22"/>
        </w:rPr>
        <w:t xml:space="preserve">The Act contains no fair-housing or AFFH provisions; fair housing appears only as a limit on waiver authority.</w:t>
      </w:r>
    </w:p>
    <w:p>
      <w:pPr>
        <w:pStyle w:val="Heading1"/>
        <w:keepNext/>
        <w:spacing w:after="100" w:before="280" w:line="276"/>
      </w:pPr>
      <w:r>
        <w:rPr>
          <w:rFonts w:ascii="Arial" w:cs="Arial" w:eastAsia="Arial" w:hAnsi="Arial"/>
          <w:b/>
          <w:bCs/>
          <w:color w:val="154360"/>
          <w:sz w:val="26"/>
          <w:szCs w:val="26"/>
        </w:rPr>
        <w:t xml:space="preserve">7. Questions we still have</w:t>
      </w:r>
    </w:p>
    <w:p>
      <w:pPr>
        <w:keepNext/>
        <w:spacing w:after="120" w:line="336"/>
      </w:pPr>
      <w:r>
        <w:rPr>
          <w:rFonts w:ascii="Arial" w:cs="Arial" w:eastAsia="Arial" w:hAnsi="Arial"/>
          <w:color w:val="1A1A2E"/>
          <w:sz w:val="22"/>
          <w:szCs w:val="22"/>
        </w:rPr>
        <w:t xml:space="preserve">Open items the hub could not pin down as of its last review. Track them before relying on the underlying provision.</w:t>
      </w:r>
    </w:p>
    <w:p>
      <w:pPr>
        <w:pStyle w:val="ListParagraph"/>
        <w:numPr>
          <w:ilvl w:val="0"/>
          <w:numId w:val="2"/>
        </w:numPr>
        <w:spacing w:after="60" w:line="336"/>
      </w:pPr>
      <w:r>
        <w:rPr>
          <w:rFonts w:ascii="Arial" w:cs="Arial" w:eastAsia="Arial" w:hAnsi="Arial"/>
          <w:color w:val="1A1A2E"/>
          <w:sz w:val="22"/>
          <w:szCs w:val="22"/>
        </w:rPr>
        <w:t xml:space="preserve">Whether FY2027 appropriations will fund the Innovation Fund (§208, $200 million authorized), planning grants (§207), Whole-Home Repairs (§202), RESIDE (§210), PRICE (§304), the temperature-sensor pilot (§106), or the Long-Term Disaster Recovery Fund (§504).</w:t>
      </w:r>
    </w:p>
    <w:p>
      <w:pPr>
        <w:pStyle w:val="ListParagraph"/>
        <w:numPr>
          <w:ilvl w:val="0"/>
          <w:numId w:val="2"/>
        </w:numPr>
        <w:spacing w:after="60" w:line="336"/>
      </w:pPr>
      <w:r>
        <w:rPr>
          <w:rFonts w:ascii="Arial" w:cs="Arial" w:eastAsia="Arial" w:hAnsi="Arial"/>
          <w:color w:val="1A1A2E"/>
          <w:sz w:val="22"/>
          <w:szCs w:val="22"/>
        </w:rPr>
        <w:t xml:space="preserve">Whether HUD will treat §405 "deemed" LIHTC/HOME/RHS inspections as satisfying periodic (biennial NSPIRE-V) inspections or only initial inspections.</w:t>
      </w:r>
    </w:p>
    <w:p>
      <w:pPr>
        <w:pStyle w:val="ListParagraph"/>
        <w:numPr>
          <w:ilvl w:val="0"/>
          <w:numId w:val="2"/>
        </w:numPr>
        <w:spacing w:after="60" w:line="336"/>
      </w:pPr>
      <w:r>
        <w:rPr>
          <w:rFonts w:ascii="Arial" w:cs="Arial" w:eastAsia="Arial" w:hAnsi="Arial"/>
          <w:color w:val="1A1A2E"/>
          <w:sz w:val="22"/>
          <w:szCs w:val="22"/>
        </w:rPr>
        <w:t xml:space="preserve">Whether §501(e)’s new HOME infrastructure authority excludes every state participating jurisdiction.</w:t>
      </w:r>
    </w:p>
    <w:p>
      <w:pPr>
        <w:pStyle w:val="ListParagraph"/>
        <w:numPr>
          <w:ilvl w:val="0"/>
          <w:numId w:val="2"/>
        </w:numPr>
        <w:spacing w:after="60" w:line="336"/>
      </w:pPr>
      <w:r>
        <w:rPr>
          <w:rFonts w:ascii="Arial" w:cs="Arial" w:eastAsia="Arial" w:hAnsi="Arial"/>
          <w:color w:val="1A1A2E"/>
          <w:sz w:val="22"/>
          <w:szCs w:val="22"/>
        </w:rPr>
        <w:t xml:space="preserve">Whether §501(l)’s NEPA categorical exemptions are self-executing on enactment or await the July 2027 rule.</w:t>
      </w:r>
    </w:p>
    <w:p>
      <w:pPr>
        <w:pStyle w:val="Heading1"/>
        <w:keepNext/>
        <w:spacing w:after="100" w:before="280" w:line="276"/>
      </w:pPr>
      <w:r>
        <w:rPr>
          <w:rFonts w:ascii="Arial" w:cs="Arial" w:eastAsia="Arial" w:hAnsi="Arial"/>
          <w:b/>
          <w:bCs/>
          <w:color w:val="154360"/>
          <w:sz w:val="26"/>
          <w:szCs w:val="26"/>
        </w:rPr>
        <w:t xml:space="preserve">8. Sources</w:t>
      </w:r>
    </w:p>
    <w:p>
      <w:pPr>
        <w:pStyle w:val="ListParagraph"/>
        <w:keepNext w:val="false"/>
        <w:numPr>
          <w:ilvl w:val="0"/>
          <w:numId w:val="2"/>
        </w:numPr>
        <w:spacing w:after="40" w:line="288"/>
      </w:pPr>
      <w:r>
        <w:rPr>
          <w:rFonts w:ascii="Arial" w:cs="Arial" w:eastAsia="Arial" w:hAnsi="Arial"/>
          <w:b/>
          <w:bCs/>
          <w:color w:val="1A1A2E"/>
          <w:sz w:val="22"/>
          <w:szCs w:val="22"/>
        </w:rPr>
        <w:t xml:space="preserve">AI Housers hub — </w:t>
      </w:r>
      <w:r>
        <w:rPr>
          <w:rFonts w:ascii="Arial" w:cs="Arial" w:eastAsia="Arial" w:hAnsi="Arial"/>
          <w:color w:val="0A66C2"/>
          <w:sz w:val="22"/>
          <w:szCs w:val="22"/>
        </w:rPr>
        <w:t xml:space="preserve">https://aihousers.com/road-to-housing/for/advocates-tenants</w:t>
      </w:r>
    </w:p>
    <w:p>
      <w:pPr>
        <w:pStyle w:val="ListParagraph"/>
        <w:keepNext w:val="false"/>
        <w:numPr>
          <w:ilvl w:val="0"/>
          <w:numId w:val="2"/>
        </w:numPr>
        <w:spacing w:after="40" w:line="288"/>
      </w:pPr>
      <w:r>
        <w:rPr>
          <w:rFonts w:ascii="Arial" w:cs="Arial" w:eastAsia="Arial" w:hAnsi="Arial"/>
          <w:color w:val="1A1A2E"/>
          <w:sz w:val="22"/>
          <w:szCs w:val="22"/>
        </w:rPr>
        <w:t xml:space="preserve">H.R. 6644 — Enrolled bill text (21st Century ROAD to Housing Act) (GovInfo (GPO)) — </w:t>
      </w:r>
      <w:r>
        <w:rPr>
          <w:rFonts w:ascii="Arial" w:cs="Arial" w:eastAsia="Arial" w:hAnsi="Arial"/>
          <w:color w:val="0A66C2"/>
          <w:sz w:val="16"/>
          <w:szCs w:val="16"/>
        </w:rPr>
        <w:t xml:space="preserve">https://www.govinfo.gov/content/pkg/BILLS-119hr6644enr/html/BILLS-119hr6644enr.htm</w:t>
      </w:r>
    </w:p>
    <w:p>
      <w:pPr>
        <w:pStyle w:val="ListParagraph"/>
        <w:keepNext w:val="false"/>
        <w:numPr>
          <w:ilvl w:val="0"/>
          <w:numId w:val="2"/>
        </w:numPr>
        <w:spacing w:after="40" w:line="288"/>
      </w:pPr>
      <w:r>
        <w:rPr>
          <w:rFonts w:ascii="Arial" w:cs="Arial" w:eastAsia="Arial" w:hAnsi="Arial"/>
          <w:color w:val="1A1A2E"/>
          <w:sz w:val="22"/>
          <w:szCs w:val="22"/>
        </w:rPr>
        <w:t xml:space="preserve">BPC — What’s in the 21st Century ROAD to Housing Act? (Bipartisan Policy Center) — </w:t>
      </w:r>
      <w:r>
        <w:rPr>
          <w:rFonts w:ascii="Arial" w:cs="Arial" w:eastAsia="Arial" w:hAnsi="Arial"/>
          <w:color w:val="0A66C2"/>
          <w:sz w:val="16"/>
          <w:szCs w:val="16"/>
        </w:rPr>
        <w:t xml:space="preserve">https://bipartisanpolicy.org/explainer/whats-in-the-21st-century-road-to-housing-act/</w:t>
      </w:r>
    </w:p>
    <w:p>
      <w:pPr>
        <w:pStyle w:val="ListParagraph"/>
        <w:keepNext w:val="false"/>
        <w:numPr>
          <w:ilvl w:val="0"/>
          <w:numId w:val="2"/>
        </w:numPr>
        <w:spacing w:after="40" w:line="288"/>
      </w:pPr>
      <w:r>
        <w:rPr>
          <w:rFonts w:ascii="Arial" w:cs="Arial" w:eastAsia="Arial" w:hAnsi="Arial"/>
          <w:color w:val="1A1A2E"/>
          <w:sz w:val="22"/>
          <w:szCs w:val="22"/>
        </w:rPr>
        <w:t xml:space="preserve">NLIHC — 21st Century ROAD to Housing Act: Impacts on Low-Income Households (July 2026) (National Low Income Housing Coalition) — </w:t>
      </w:r>
      <w:r>
        <w:rPr>
          <w:rFonts w:ascii="Arial" w:cs="Arial" w:eastAsia="Arial" w:hAnsi="Arial"/>
          <w:color w:val="0A66C2"/>
          <w:sz w:val="16"/>
          <w:szCs w:val="16"/>
        </w:rPr>
        <w:t xml:space="preserve">https://nlihc.org/sites/default/files/ROAD_Impacts_071026.pdf</w:t>
      </w:r>
    </w:p>
    <w:p>
      <w:pPr>
        <w:pStyle w:val="ListParagraph"/>
        <w:keepNext w:val="false"/>
        <w:numPr>
          <w:ilvl w:val="0"/>
          <w:numId w:val="2"/>
        </w:numPr>
        <w:spacing w:after="40" w:line="288"/>
      </w:pPr>
      <w:r>
        <w:rPr>
          <w:rFonts w:ascii="Arial" w:cs="Arial" w:eastAsia="Arial" w:hAnsi="Arial"/>
          <w:color w:val="1A1A2E"/>
          <w:sz w:val="22"/>
          <w:szCs w:val="22"/>
        </w:rPr>
        <w:t xml:space="preserve">HUD notice on the CDBG-DR allocation formula (Docket FR-6337-N-02) (HUD / Federal Register) — </w:t>
      </w:r>
      <w:r>
        <w:rPr>
          <w:rFonts w:ascii="Arial" w:cs="Arial" w:eastAsia="Arial" w:hAnsi="Arial"/>
          <w:color w:val="0A66C2"/>
          <w:sz w:val="16"/>
          <w:szCs w:val="16"/>
        </w:rPr>
        <w:t xml:space="preserve">https://www.federalregister.gov/documents/2026/08/13/2026-16499/notice-on-community-development-block-grant-disaster-recovery-cdbg-dr-formula</w:t>
      </w:r>
    </w:p>
    <w:p>
      <w:pPr>
        <w:pStyle w:val="ListParagraph"/>
        <w:keepNext w:val="false"/>
        <w:numPr>
          <w:ilvl w:val="0"/>
          <w:numId w:val="2"/>
        </w:numPr>
        <w:spacing w:after="40" w:line="288"/>
      </w:pPr>
      <w:r>
        <w:rPr>
          <w:rFonts w:ascii="Arial" w:cs="Arial" w:eastAsia="Arial" w:hAnsi="Arial"/>
          <w:color w:val="1A1A2E"/>
          <w:sz w:val="22"/>
          <w:szCs w:val="22"/>
        </w:rPr>
        <w:t xml:space="preserve">BPC — FY2027 HUD appropriations tracker (Bipartisan Policy Center) — </w:t>
      </w:r>
      <w:r>
        <w:rPr>
          <w:rFonts w:ascii="Arial" w:cs="Arial" w:eastAsia="Arial" w:hAnsi="Arial"/>
          <w:color w:val="0A66C2"/>
          <w:sz w:val="16"/>
          <w:szCs w:val="16"/>
        </w:rPr>
        <w:t xml:space="preserve">https://bipartisanpolicy.org/explainer/fy2027-hud-appropriations-tracker/</w:t>
      </w:r>
    </w:p>
    <w:p>
      <w:pPr>
        <w:pStyle w:val="ListParagraph"/>
        <w:keepNext w:val="false"/>
        <w:numPr>
          <w:ilvl w:val="0"/>
          <w:numId w:val="2"/>
        </w:numPr>
        <w:spacing w:after="40" w:line="288"/>
      </w:pPr>
      <w:r>
        <w:rPr>
          <w:rFonts w:ascii="Arial" w:cs="Arial" w:eastAsia="Arial" w:hAnsi="Arial"/>
          <w:color w:val="1A1A2E"/>
          <w:sz w:val="22"/>
          <w:szCs w:val="22"/>
        </w:rPr>
        <w:t xml:space="preserve">Smart Growth America — Reflecting on the 21st Century ROAD to Housing Act (Smart Growth America) — </w:t>
      </w:r>
      <w:r>
        <w:rPr>
          <w:rFonts w:ascii="Arial" w:cs="Arial" w:eastAsia="Arial" w:hAnsi="Arial"/>
          <w:color w:val="0A66C2"/>
          <w:sz w:val="16"/>
          <w:szCs w:val="16"/>
        </w:rPr>
        <w:t xml:space="preserve">https://www.smartgrowthamerica.org/knowledge-hub/news/reflecting-on-the-21st-century-road-to-housing-act/</w:t>
      </w:r>
    </w:p>
    <w:p>
      <w:pPr>
        <w:pStyle w:val="ListParagraph"/>
        <w:keepNext w:val="false"/>
        <w:numPr>
          <w:ilvl w:val="0"/>
          <w:numId w:val="2"/>
        </w:numPr>
        <w:spacing w:after="40" w:line="288"/>
      </w:pPr>
      <w:r>
        <w:rPr>
          <w:rFonts w:ascii="Arial" w:cs="Arial" w:eastAsia="Arial" w:hAnsi="Arial"/>
          <w:color w:val="1A1A2E"/>
          <w:sz w:val="22"/>
          <w:szCs w:val="22"/>
        </w:rPr>
        <w:t xml:space="preserve">NLIHC — Explainer: 21st Century ROAD to Housing Act (National Low Income Housing Coalition) — </w:t>
      </w:r>
      <w:r>
        <w:rPr>
          <w:rFonts w:ascii="Arial" w:cs="Arial" w:eastAsia="Arial" w:hAnsi="Arial"/>
          <w:color w:val="0A66C2"/>
          <w:sz w:val="16"/>
          <w:szCs w:val="16"/>
        </w:rPr>
        <w:t xml:space="preserve">https://nlihc.org/sites/default/files/21ST_Century_ROAD_Explainer.pdf</w:t>
      </w:r>
    </w:p>
    <w:p>
      <w:pPr>
        <w:pStyle w:val="ListParagraph"/>
        <w:keepNext w:val="false"/>
        <w:numPr>
          <w:ilvl w:val="0"/>
          <w:numId w:val="2"/>
        </w:numPr>
        <w:spacing w:after="40" w:line="288"/>
      </w:pPr>
      <w:r>
        <w:rPr>
          <w:rFonts w:ascii="Arial" w:cs="Arial" w:eastAsia="Arial" w:hAnsi="Arial"/>
          <w:color w:val="1A1A2E"/>
          <w:sz w:val="22"/>
          <w:szCs w:val="22"/>
        </w:rPr>
        <w:t xml:space="preserve">NLIHC — “ROAD to Housing Act” becomes law; new resource available (National Low Income Housing Coalition) — </w:t>
      </w:r>
      <w:r>
        <w:rPr>
          <w:rFonts w:ascii="Arial" w:cs="Arial" w:eastAsia="Arial" w:hAnsi="Arial"/>
          <w:color w:val="0A66C2"/>
          <w:sz w:val="16"/>
          <w:szCs w:val="16"/>
        </w:rPr>
        <w:t xml:space="preserve">https://nlihc.org/resource/21st-century-road-housing-act-becomes-law-new-nlihc-resource-available</w:t>
      </w:r>
    </w:p>
    <w:p>
      <w:pPr>
        <w:pStyle w:val="ListParagraph"/>
        <w:keepNext w:val="false"/>
        <w:numPr>
          <w:ilvl w:val="0"/>
          <w:numId w:val="2"/>
        </w:numPr>
        <w:spacing w:after="40" w:line="288"/>
      </w:pPr>
      <w:r>
        <w:rPr>
          <w:rFonts w:ascii="Arial" w:cs="Arial" w:eastAsia="Arial" w:hAnsi="Arial"/>
          <w:color w:val="1A1A2E"/>
          <w:sz w:val="22"/>
          <w:szCs w:val="22"/>
        </w:rPr>
        <w:t xml:space="preserve">NHLP — ROAD to Housing: a step towards taking on America’s housing crisis (National Housing Law Project) — </w:t>
      </w:r>
      <w:r>
        <w:rPr>
          <w:rFonts w:ascii="Arial" w:cs="Arial" w:eastAsia="Arial" w:hAnsi="Arial"/>
          <w:color w:val="0A66C2"/>
          <w:sz w:val="16"/>
          <w:szCs w:val="16"/>
        </w:rPr>
        <w:t xml:space="preserve">https://www.nhlp.org/press-release/the-national-housing-law-project-on-road-to-housing-a-step-towards-taking-on-americas-housing-crisis/</w:t>
      </w:r>
    </w:p>
    <w:p>
      <w:pPr>
        <w:pStyle w:val="ListParagraph"/>
        <w:keepNext w:val="false"/>
        <w:numPr>
          <w:ilvl w:val="0"/>
          <w:numId w:val="2"/>
        </w:numPr>
        <w:spacing w:after="40" w:line="288"/>
      </w:pPr>
      <w:r>
        <w:rPr>
          <w:rFonts w:ascii="Arial" w:cs="Arial" w:eastAsia="Arial" w:hAnsi="Arial"/>
          <w:color w:val="1A1A2E"/>
          <w:sz w:val="22"/>
          <w:szCs w:val="22"/>
        </w:rPr>
        <w:t xml:space="preserve">NCLC — Congress passes 21st Century ROAD to Housing Act (National Consumer Law Center) — </w:t>
      </w:r>
      <w:r>
        <w:rPr>
          <w:rFonts w:ascii="Arial" w:cs="Arial" w:eastAsia="Arial" w:hAnsi="Arial"/>
          <w:color w:val="0A66C2"/>
          <w:sz w:val="16"/>
          <w:szCs w:val="16"/>
        </w:rPr>
        <w:t xml:space="preserve">https://www.nclc.org/congress-passes-21st-century-road-to-housing-act/</w:t>
      </w:r>
    </w:p>
    <w:p>
      <w:pPr>
        <w:pStyle w:val="ListParagraph"/>
        <w:keepNext/>
        <w:numPr>
          <w:ilvl w:val="0"/>
          <w:numId w:val="2"/>
        </w:numPr>
        <w:spacing w:after="40" w:line="288"/>
      </w:pPr>
      <w:r>
        <w:rPr>
          <w:rFonts w:ascii="Arial" w:cs="Arial" w:eastAsia="Arial" w:hAnsi="Arial"/>
          <w:color w:val="1A1A2E"/>
          <w:sz w:val="22"/>
          <w:szCs w:val="22"/>
        </w:rPr>
        <w:t xml:space="preserve">227 pro-housing organizations thank Congress for the housing bill (Inclusive Abundance / Up for Growth Action) — </w:t>
      </w:r>
      <w:r>
        <w:rPr>
          <w:rFonts w:ascii="Arial" w:cs="Arial" w:eastAsia="Arial" w:hAnsi="Arial"/>
          <w:color w:val="0A66C2"/>
          <w:sz w:val="16"/>
          <w:szCs w:val="16"/>
        </w:rPr>
        <w:t xml:space="preserve">https://www.inclusiveabundance.org/abundance-in-action/227-pro-housing-organizations-thank-congress-for-the-housing-bill</w:t>
      </w:r>
    </w:p>
    <w:p>
      <w:pPr>
        <w:pStyle w:val="ListParagraph"/>
        <w:keepNext/>
        <w:numPr>
          <w:ilvl w:val="0"/>
          <w:numId w:val="2"/>
        </w:numPr>
        <w:spacing w:after="40" w:line="288"/>
      </w:pPr>
      <w:r>
        <w:rPr>
          <w:rFonts w:ascii="Arial" w:cs="Arial" w:eastAsia="Arial" w:hAnsi="Arial"/>
          <w:color w:val="1A1A2E"/>
          <w:sz w:val="22"/>
          <w:szCs w:val="22"/>
        </w:rPr>
        <w:t xml:space="preserve">PBS NewsHour — Historic bill may fall short for renters most in need (PBS NewsHour) — </w:t>
      </w:r>
      <w:r>
        <w:rPr>
          <w:rFonts w:ascii="Arial" w:cs="Arial" w:eastAsia="Arial" w:hAnsi="Arial"/>
          <w:color w:val="0A66C2"/>
          <w:sz w:val="16"/>
          <w:szCs w:val="16"/>
        </w:rPr>
        <w:t xml:space="preserve">https://www.pbs.org/newshour/nation/the-new-housing-bill-is-historic-experts-say-it-may-fall-short-for-renters-most-in-need</w:t>
      </w:r>
    </w:p>
    <w:p>
      <w:pPr>
        <w:keepNext/>
        <w:pBdr>
          <w:top w:val="single" w:color="DDE3EA" w:sz="4" w:space="8"/>
        </w:pBdr>
        <w:spacing w:after="80" w:before="140" w:line="336"/>
      </w:pPr>
      <w:r>
        <w:rPr>
          <w:rFonts w:ascii="Arial" w:cs="Arial" w:eastAsia="Arial" w:hAnsi="Arial"/>
          <w:b/>
          <w:bCs/>
          <w:i/>
          <w:iCs/>
          <w:color w:val="154360"/>
          <w:sz w:val="22"/>
          <w:szCs w:val="22"/>
        </w:rPr>
        <w:t xml:space="preserve">Make it yours: </w:t>
      </w:r>
      <w:r>
        <w:rPr>
          <w:rFonts w:ascii="Arial" w:cs="Arial" w:eastAsia="Arial" w:hAnsi="Arial"/>
          <w:i/>
          <w:iCs/>
          <w:color w:val="1A1A2E"/>
          <w:sz w:val="22"/>
          <w:szCs w:val="22"/>
        </w:rPr>
        <w:t xml:space="preserve">replace the bracketed placeholders, trim rows that don’t apply, and add your local numbers.</w:t>
      </w:r>
    </w:p>
    <w:p>
      <w:pPr>
        <w:keepNext/>
        <w:spacing w:after="60" w:line="252"/>
      </w:pPr>
      <w:r>
        <w:rPr>
          <w:rFonts w:ascii="Arial" w:cs="Arial" w:eastAsia="Arial" w:hAnsi="Arial"/>
          <w:color w:val="4B5563"/>
          <w:sz w:val="17"/>
          <w:szCs w:val="17"/>
        </w:rPr>
        <w:t xml:space="preserve">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w:t>
      </w:r>
    </w:p>
    <w:p>
      <w:pPr>
        <w:keepNext/>
        <w:spacing w:after="60" w:line="252"/>
      </w:pPr>
      <w:r>
        <w:rPr>
          <w:rFonts w:ascii="Arial" w:cs="Arial" w:eastAsia="Arial" w:hAnsi="Arial"/>
          <w:color w:val="4B5563"/>
          <w:sz w:val="17"/>
          <w:szCs w:val="17"/>
        </w:rPr>
        <w:t xml:space="preserve">Prepared from aihousers.com/road-to-housing · content reviewed August 29, 2026</w:t>
      </w:r>
    </w:p>
    <w:p>
      <w:pPr>
        <w:spacing w:after="0" w:line="252"/>
      </w:pPr>
      <w:r>
        <w:rPr>
          <w:rFonts w:ascii="Arial" w:cs="Arial" w:eastAsia="Arial" w:hAnsi="Arial"/>
          <w:color w:val="4B5563"/>
          <w:sz w:val="17"/>
          <w:szCs w:val="17"/>
        </w:rPr>
        <w:t xml:space="preserve">Reuse freely, including with your own logo, with attribution to AI Housers — aihousers.com/road-to-housing (CC BY 4.0). </w:t>
      </w:r>
      <w:r>
        <w:rPr>
          <w:rFonts w:ascii="Arial" w:cs="Arial" w:eastAsia="Arial" w:hAnsi="Arial"/>
          <w:color w:val="0A66C2"/>
          <w:sz w:val="17"/>
          <w:szCs w:val="17"/>
        </w:rPr>
        <w:t xml:space="preserve">https://creativecommons.org/licenses/by/4.0/</w:t>
      </w:r>
    </w:p>
    <w:sectPr>
      <w:headerReference w:type="default" r:id="rId7"/>
      <w:footerReference w:type="default" r:id="rId8"/>
      <w:pgSz w:w="12240" w:h="15840" w:orient="portrait"/>
      <w:pgMar w:top="1080" w:right="1080" w:bottom="1080" w:left="1080" w:header="500" w:footer="50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A" w:sz="4" w:space="6"/>
      </w:pBdr>
      <w:tabs>
        <w:tab w:val="right" w:pos="10080"/>
      </w:tabs>
      <w:spacing w:after="0" w:line="240"/>
    </w:pPr>
    <w:r>
      <w:rPr>
        <w:rFonts w:ascii="Arial" w:cs="Arial" w:eastAsia="Arial" w:hAnsi="Arial"/>
        <w:color w:val="4B5563"/>
        <w:sz w:val="14"/>
        <w:szCs w:val="14"/>
      </w:rPr>
      <w:t xml:space="preserve">Houser Technologies LLC d/b/a AI Housers · aihousers.com · Not legal, compliance, or financial advice.</w:t>
    </w:r>
    <w:r>
      <w:rPr>
        <w:rFonts w:ascii="Arial" w:cs="Arial" w:eastAsia="Arial" w:hAnsi="Arial"/>
        <w:color w:val="4B5563"/>
        <w:sz w:val="14"/>
        <w:szCs w:val="14"/>
      </w:rPr>
      <w:t xml:space="preserve">	Page </w:t>
    </w:r>
    <w:r>
      <w:rPr>
        <w:rFonts w:ascii="Arial" w:cs="Arial" w:eastAsia="Arial" w:hAnsi="Arial"/>
        <w:color w:val="4B5563"/>
        <w:sz w:val="14"/>
        <w:szCs w:val="14"/>
      </w:rPr>
      <w:fldChar w:fldCharType="begin"/>
      <w:instrText xml:space="preserve">PAGE</w:instrText>
      <w:fldChar w:fldCharType="separate"/>
      <w:fldChar w:fldCharType="end"/>
    </w:r>
    <w:r>
      <w:rPr>
        <w:rFonts w:ascii="Arial" w:cs="Arial" w:eastAsia="Arial" w:hAnsi="Arial"/>
        <w:color w:val="4B5563"/>
        <w:sz w:val="14"/>
        <w:szCs w:val="14"/>
      </w:rPr>
      <w:t xml:space="preserve"> of </w:t>
    </w:r>
    <w:r>
      <w:rPr>
        <w:rFonts w:ascii="Arial" w:cs="Arial" w:eastAsia="Arial" w:hAnsi="Arial"/>
        <w:color w:val="4B5563"/>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Arial" w:cs="Arial" w:eastAsia="Arial" w:hAnsi="Arial"/>
        <w:color w:val="4B5563"/>
        <w:sz w:val="15"/>
        <w:szCs w:val="15"/>
      </w:rPr>
      <w:t xml:space="preserve">21st Century ROAD to Housing Act · Advocates &amp; Tenants · Leadership memo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color w:val="1B4F7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Arial" w:cs="Arial" w:eastAsia="Arial" w:hAnsi="Arial"/>
      <w:b/>
      <w:bCs/>
      <w:color w:val="154360"/>
      <w:sz w:val="26"/>
      <w:szCs w:val="26"/>
    </w:rPr>
  </w:style>
  <w:style w:type="paragraph" w:styleId="Heading2">
    <w:name w:val="Heading 2"/>
    <w:basedOn w:val="Normal"/>
    <w:next w:val="Normal"/>
    <w:qFormat/>
    <w:rPr>
      <w:rFonts w:ascii="Arial" w:cs="Arial" w:eastAsia="Arial" w:hAnsi="Arial"/>
      <w:b/>
      <w:bCs/>
      <w:color w:val="1B4F7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d29c19467000777720b1133f971811d85354e9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Century ROAD to Housing Act — leadership memo (Advocates &amp; Tenants)</dc:title>
  <dc:creator>AI Housers</dc:creator>
  <dc:description>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dc:description>
  <cp:lastModifiedBy>Un-named</cp:lastModifiedBy>
  <cp:revision>1</cp:revision>
  <dcterms:created xsi:type="dcterms:W3CDTF">2026-08-30T00:39:32.011Z</dcterms:created>
  <dcterms:modified xsi:type="dcterms:W3CDTF">2026-08-30T00:39:32.011Z</dcterms:modified>
</cp:coreProperties>
</file>

<file path=docProps/custom.xml><?xml version="1.0" encoding="utf-8"?>
<Properties xmlns="http://schemas.openxmlformats.org/officeDocument/2006/custom-properties" xmlns:vt="http://schemas.openxmlformats.org/officeDocument/2006/docPropsVTypes"/>
</file>